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keepLines/>
        <w:keepNext/>
        <w:rPr>
          <w:rFonts w:eastAsia="Calibri"/>
          <w:b/>
          <w:sz w:val="26"/>
          <w:szCs w:val="26"/>
          <w:highlight w:val="none"/>
        </w:rPr>
      </w:pPr>
      <w:r>
        <w:rPr>
          <w:rFonts w:eastAsia="Calibri"/>
          <w:b/>
          <w:sz w:val="26"/>
          <w:szCs w:val="26"/>
          <w:highlight w:val="none"/>
        </w:rPr>
        <w:t xml:space="preserve"> </w:t>
      </w: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  <w:highlight w:val="none"/>
        </w:rPr>
      </w:pP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  <w:highlight w:val="none"/>
        </w:rPr>
      </w:pP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  <w:highlight w:val="none"/>
        </w:rPr>
      </w:pP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  <w:highlight w:val="none"/>
        </w:rPr>
      </w:pP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  <w:highlight w:val="none"/>
        </w:rPr>
      </w:pP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  <w:highlight w:val="none"/>
        </w:rPr>
      </w:pP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  <w:highlight w:val="none"/>
        </w:rPr>
      </w:pP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  <w:highlight w:val="none"/>
        </w:rPr>
      </w:pP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  <w:highlight w:val="none"/>
        </w:rPr>
      </w:pP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  <w:highlight w:val="none"/>
        </w:rPr>
      </w:pP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  <w:highlight w:val="none"/>
        </w:rPr>
      </w:pPr>
      <w:r>
        <w:rPr>
          <w:rFonts w:eastAsia="Calibri"/>
          <w:b/>
          <w:sz w:val="26"/>
          <w:szCs w:val="26"/>
          <w:highlight w:val="none"/>
        </w:rPr>
        <w:t xml:space="preserve">Технические требования на выполнение работ</w:t>
      </w: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  <w:highlight w:val="none"/>
        </w:rPr>
      </w:pP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  <w:highlight w:val="none"/>
        </w:rPr>
      </w:pP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</w:p>
    <w:p>
      <w:pPr>
        <w:jc w:val="center"/>
        <w:keepLines/>
        <w:keepNext/>
        <w:rPr>
          <w:rFonts w:eastAsia="Calibri"/>
          <w:sz w:val="26"/>
          <w:szCs w:val="26"/>
          <w:highlight w:val="none"/>
          <w14:ligatures w14:val="none"/>
        </w:rPr>
      </w:pPr>
      <w:r>
        <w:rPr>
          <w:rFonts w:eastAsia="Calibri"/>
          <w:sz w:val="26"/>
          <w:szCs w:val="26"/>
          <w:highlight w:val="none"/>
        </w:rPr>
      </w:r>
      <w:r>
        <w:rPr>
          <w:rFonts w:eastAsia="Calibri"/>
          <w:sz w:val="26"/>
          <w:szCs w:val="26"/>
          <w:highlight w:val="none"/>
        </w:rPr>
        <w:t xml:space="preserve">«</w:t>
      </w:r>
      <w:r>
        <w:rPr>
          <w:rFonts w:eastAsia="Calibri"/>
          <w:sz w:val="26"/>
          <w:szCs w:val="26"/>
          <w:highlight w:val="none"/>
        </w:rPr>
        <w:t xml:space="preserve">ОКПД2 43.99.90.190. Выполнение работ по ремонту антикоррозионной защиты оборудования Хабаровской ТЭЦ-1 в г. Хабаровск</w:t>
      </w:r>
      <w:r>
        <w:rPr>
          <w:rFonts w:eastAsia="Calibri"/>
          <w:sz w:val="26"/>
          <w:szCs w:val="26"/>
          <w:highlight w:val="none"/>
        </w:rPr>
        <w:t xml:space="preserve">»</w:t>
      </w:r>
      <w:r>
        <w:rPr>
          <w:rFonts w:eastAsia="Calibri"/>
          <w:sz w:val="26"/>
          <w:szCs w:val="26"/>
          <w:highlight w:val="none"/>
        </w:rPr>
        <w:t xml:space="preserve"> </w:t>
      </w:r>
      <w:r>
        <w:rPr>
          <w:rFonts w:eastAsia="Calibri"/>
          <w:sz w:val="26"/>
          <w:szCs w:val="26"/>
          <w:highlight w:val="none"/>
          <w14:ligatures w14:val="none"/>
        </w:rPr>
      </w:r>
      <w:r>
        <w:rPr>
          <w:rFonts w:eastAsia="Calibri"/>
          <w:sz w:val="26"/>
          <w:szCs w:val="26"/>
          <w:highlight w:val="none"/>
          <w14:ligatures w14:val="none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  <w:highlight w:val="none"/>
        </w:rPr>
      </w:pPr>
      <w:r>
        <w:rPr>
          <w:rFonts w:eastAsia="Calibri"/>
          <w:b/>
          <w:sz w:val="26"/>
          <w:szCs w:val="26"/>
          <w:highlight w:val="none"/>
        </w:rPr>
        <w:t xml:space="preserve">Лот № </w:t>
      </w:r>
      <w:r>
        <w:rPr>
          <w:rFonts w:eastAsia="Calibri"/>
          <w:b/>
          <w:sz w:val="26"/>
          <w:szCs w:val="26"/>
          <w:highlight w:val="none"/>
        </w:rPr>
        <w:t xml:space="preserve">11020011-РЕМ ПРОД-2026-ДГК-ХТЭЦ1</w:t>
      </w:r>
      <w:r>
        <w:rPr>
          <w:rFonts w:eastAsia="Calibri"/>
          <w:b/>
          <w:sz w:val="26"/>
          <w:szCs w:val="26"/>
          <w:highlight w:val="none"/>
        </w:rPr>
        <w:br w:type="page" w:clear="all"/>
      </w: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  <w:t xml:space="preserve">СОДЕРЖАНИЕ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310"/>
        <w:tabs>
          <w:tab w:val="left" w:pos="560" w:leader="none"/>
          <w:tab w:val="right" w:pos="9781" w:leader="dot"/>
        </w:tabs>
        <w:rPr>
          <w:rFonts w:asciiTheme="minorHAnsi" w:hAnsiTheme="minorHAnsi" w:eastAsiaTheme="minorEastAsia" w:cstheme="minorBidi"/>
          <w:b w:val="0"/>
          <w:bCs w:val="0"/>
          <w:highlight w:val="none"/>
        </w:rPr>
      </w:pPr>
      <w:r>
        <w:rPr>
          <w:rFonts w:cstheme="majorHAnsi"/>
          <w:b w:val="0"/>
          <w:i/>
          <w:highlight w:val="none"/>
        </w:rPr>
        <w:fldChar w:fldCharType="begin"/>
      </w:r>
      <w:r>
        <w:rPr>
          <w:rFonts w:cstheme="majorHAnsi"/>
          <w:b w:val="0"/>
          <w:i/>
          <w:highlight w:val="none"/>
        </w:rPr>
        <w:instrText xml:space="preserve"> TOC \o "1-4" \h \z \u </w:instrText>
      </w:r>
      <w:r>
        <w:rPr>
          <w:rFonts w:cstheme="majorHAnsi"/>
          <w:b w:val="0"/>
          <w:i/>
          <w:highlight w:val="none"/>
        </w:rPr>
        <w:fldChar w:fldCharType="separate"/>
      </w:r>
      <w:hyperlink w:tooltip="#_Toc54646395" w:anchor="_Toc54646395" w:history="1">
        <w:r>
          <w:rPr>
            <w:rStyle w:val="1311"/>
            <w:highlight w:val="none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  <w:highlight w:val="none"/>
          </w:rPr>
          <w:tab/>
        </w:r>
        <w:r>
          <w:rPr>
            <w:rStyle w:val="1311"/>
            <w:highlight w:val="none"/>
          </w:rPr>
          <w:t xml:space="preserve">Общие сведения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_Toc54646395 \h </w:instrText>
        </w:r>
        <w:r>
          <w:rPr>
            <w:highlight w:val="none"/>
          </w:rPr>
          <w:fldChar w:fldCharType="separate"/>
        </w:r>
        <w:r>
          <w:rPr>
            <w:highlight w:val="none"/>
          </w:rPr>
          <w:t xml:space="preserve">3</w:t>
        </w:r>
        <w:r>
          <w:rPr>
            <w:highlight w:val="non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</w:p>
    <w:p>
      <w:pPr>
        <w:pStyle w:val="1312"/>
        <w:tabs>
          <w:tab w:val="left" w:pos="1120" w:leader="none"/>
          <w:tab w:val="right" w:pos="9781" w:leader="dot"/>
        </w:tabs>
        <w:rPr>
          <w:rFonts w:asciiTheme="minorHAnsi" w:hAnsiTheme="minorHAnsi" w:eastAsiaTheme="minorEastAsia" w:cstheme="minorBidi"/>
          <w:sz w:val="24"/>
          <w:szCs w:val="24"/>
          <w:highlight w:val="none"/>
        </w:rPr>
      </w:pPr>
      <w:r>
        <w:rPr>
          <w:highlight w:val="none"/>
        </w:rPr>
      </w:r>
      <w:hyperlink w:tooltip="#_Toc54646396" w:anchor="_Toc54646396" w:history="1">
        <w:r>
          <w:rPr>
            <w:rStyle w:val="1311"/>
            <w:iCs/>
            <w:highlight w:val="none"/>
          </w:rPr>
          <w:t xml:space="preserve">1.1.</w:t>
        </w:r>
        <w:r>
          <w:rPr>
            <w:rFonts w:asciiTheme="minorHAnsi" w:hAnsiTheme="minorHAnsi" w:eastAsiaTheme="minorEastAsia" w:cstheme="minorBidi"/>
            <w:sz w:val="24"/>
            <w:szCs w:val="24"/>
            <w:highlight w:val="none"/>
          </w:rPr>
          <w:tab/>
        </w:r>
        <w:r>
          <w:rPr>
            <w:rStyle w:val="1311"/>
            <w:highlight w:val="none"/>
          </w:rPr>
          <w:t xml:space="preserve">Обозначения и сокращения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_Toc54646396 \h </w:instrText>
        </w:r>
        <w:r>
          <w:rPr>
            <w:highlight w:val="none"/>
          </w:rPr>
          <w:fldChar w:fldCharType="separate"/>
        </w:r>
        <w:r>
          <w:rPr>
            <w:highlight w:val="none"/>
          </w:rPr>
          <w:t xml:space="preserve">3</w:t>
        </w:r>
        <w:r>
          <w:rPr>
            <w:highlight w:val="none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  <w:highlight w:val="none"/>
        </w:rPr>
      </w:r>
      <w:r>
        <w:rPr>
          <w:rFonts w:asciiTheme="minorHAnsi" w:hAnsiTheme="minorHAnsi" w:eastAsiaTheme="minorEastAsia" w:cstheme="minorBidi"/>
          <w:sz w:val="24"/>
          <w:szCs w:val="24"/>
          <w:highlight w:val="none"/>
        </w:rPr>
      </w:r>
    </w:p>
    <w:p>
      <w:pPr>
        <w:pStyle w:val="1312"/>
        <w:tabs>
          <w:tab w:val="left" w:pos="1120" w:leader="none"/>
          <w:tab w:val="right" w:pos="9781" w:leader="dot"/>
        </w:tabs>
        <w:rPr>
          <w:rFonts w:asciiTheme="minorHAnsi" w:hAnsiTheme="minorHAnsi" w:eastAsiaTheme="minorEastAsia" w:cstheme="minorBidi"/>
          <w:sz w:val="24"/>
          <w:szCs w:val="24"/>
          <w:highlight w:val="none"/>
        </w:rPr>
      </w:pPr>
      <w:r>
        <w:rPr>
          <w:highlight w:val="none"/>
        </w:rPr>
      </w:r>
      <w:hyperlink w:tooltip="#_Toc54646397" w:anchor="_Toc54646397" w:history="1">
        <w:r>
          <w:rPr>
            <w:rStyle w:val="1311"/>
            <w:iCs/>
            <w:highlight w:val="none"/>
          </w:rPr>
          <w:t xml:space="preserve">1.2.</w:t>
        </w:r>
        <w:r>
          <w:rPr>
            <w:rFonts w:asciiTheme="minorHAnsi" w:hAnsiTheme="minorHAnsi" w:eastAsiaTheme="minorEastAsia" w:cstheme="minorBidi"/>
            <w:sz w:val="24"/>
            <w:szCs w:val="24"/>
            <w:highlight w:val="none"/>
          </w:rPr>
          <w:tab/>
        </w:r>
        <w:r>
          <w:rPr>
            <w:rStyle w:val="1311"/>
            <w:highlight w:val="none"/>
          </w:rPr>
          <w:t xml:space="preserve">Наименование закупаемой продукции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_Toc54646397 \h </w:instrText>
        </w:r>
        <w:r>
          <w:rPr>
            <w:highlight w:val="none"/>
          </w:rPr>
          <w:fldChar w:fldCharType="separate"/>
        </w:r>
        <w:r>
          <w:rPr>
            <w:highlight w:val="none"/>
          </w:rPr>
          <w:t xml:space="preserve">4</w:t>
        </w:r>
        <w:r>
          <w:rPr>
            <w:highlight w:val="none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  <w:highlight w:val="none"/>
        </w:rPr>
      </w:r>
      <w:r>
        <w:rPr>
          <w:rFonts w:asciiTheme="minorHAnsi" w:hAnsiTheme="minorHAnsi" w:eastAsiaTheme="minorEastAsia" w:cstheme="minorBidi"/>
          <w:sz w:val="24"/>
          <w:szCs w:val="24"/>
          <w:highlight w:val="none"/>
        </w:rPr>
      </w:r>
    </w:p>
    <w:p>
      <w:pPr>
        <w:pStyle w:val="1312"/>
        <w:tabs>
          <w:tab w:val="left" w:pos="1120" w:leader="none"/>
          <w:tab w:val="right" w:pos="9781" w:leader="dot"/>
        </w:tabs>
        <w:rPr>
          <w:rFonts w:asciiTheme="minorHAnsi" w:hAnsiTheme="minorHAnsi" w:eastAsiaTheme="minorEastAsia" w:cstheme="minorBidi"/>
          <w:sz w:val="24"/>
          <w:szCs w:val="24"/>
          <w:highlight w:val="none"/>
        </w:rPr>
      </w:pPr>
      <w:r>
        <w:rPr>
          <w:highlight w:val="none"/>
        </w:rPr>
      </w:r>
      <w:hyperlink w:tooltip="#_Toc54646398" w:anchor="_Toc54646398" w:history="1">
        <w:r>
          <w:rPr>
            <w:rStyle w:val="1311"/>
            <w:iCs/>
            <w:highlight w:val="none"/>
          </w:rPr>
          <w:t xml:space="preserve">1.3.</w:t>
        </w:r>
        <w:r>
          <w:rPr>
            <w:rFonts w:asciiTheme="minorHAnsi" w:hAnsiTheme="minorHAnsi" w:eastAsiaTheme="minorEastAsia" w:cstheme="minorBidi"/>
            <w:sz w:val="24"/>
            <w:szCs w:val="24"/>
            <w:highlight w:val="none"/>
          </w:rPr>
          <w:tab/>
        </w:r>
        <w:r>
          <w:rPr>
            <w:rStyle w:val="1311"/>
            <w:highlight w:val="none"/>
          </w:rPr>
          <w:t xml:space="preserve">Цель выполнения работ 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_Toc54646398 \h </w:instrText>
        </w:r>
        <w:r>
          <w:rPr>
            <w:highlight w:val="none"/>
          </w:rPr>
          <w:fldChar w:fldCharType="separate"/>
        </w:r>
        <w:r>
          <w:rPr>
            <w:highlight w:val="none"/>
          </w:rPr>
          <w:t xml:space="preserve">4</w:t>
        </w:r>
        <w:r>
          <w:rPr>
            <w:highlight w:val="none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  <w:highlight w:val="none"/>
        </w:rPr>
      </w:r>
      <w:r>
        <w:rPr>
          <w:rFonts w:asciiTheme="minorHAnsi" w:hAnsiTheme="minorHAnsi" w:eastAsiaTheme="minorEastAsia" w:cstheme="minorBidi"/>
          <w:sz w:val="24"/>
          <w:szCs w:val="24"/>
          <w:highlight w:val="none"/>
        </w:rPr>
      </w:r>
    </w:p>
    <w:p>
      <w:pPr>
        <w:pStyle w:val="1312"/>
        <w:tabs>
          <w:tab w:val="left" w:pos="1120" w:leader="none"/>
          <w:tab w:val="right" w:pos="9781" w:leader="dot"/>
        </w:tabs>
        <w:rPr>
          <w:highlight w:val="none"/>
        </w:rPr>
      </w:pPr>
      <w:r>
        <w:rPr>
          <w:highlight w:val="none"/>
        </w:rPr>
      </w:r>
      <w:hyperlink w:tooltip="#_Toc54646398" w:anchor="_Toc54646398" w:history="1">
        <w:r>
          <w:rPr>
            <w:rStyle w:val="1311"/>
            <w:iCs/>
            <w:highlight w:val="none"/>
          </w:rPr>
          <w:t xml:space="preserve">1.4.</w:t>
        </w:r>
        <w:r>
          <w:rPr>
            <w:rFonts w:asciiTheme="minorHAnsi" w:hAnsiTheme="minorHAnsi" w:eastAsiaTheme="minorEastAsia" w:cstheme="minorBidi"/>
            <w:sz w:val="24"/>
            <w:szCs w:val="24"/>
            <w:highlight w:val="none"/>
          </w:rPr>
          <w:tab/>
        </w:r>
        <w:r>
          <w:rPr>
            <w:rStyle w:val="1311"/>
            <w:highlight w:val="none"/>
          </w:rPr>
          <w:t xml:space="preserve">Существующее положение 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_Toc54646398 \h </w:instrText>
        </w:r>
        <w:r>
          <w:rPr>
            <w:highlight w:val="none"/>
          </w:rPr>
          <w:fldChar w:fldCharType="separate"/>
        </w:r>
        <w:r>
          <w:rPr>
            <w:highlight w:val="none"/>
          </w:rPr>
          <w:t xml:space="preserve">4</w:t>
        </w:r>
        <w:r>
          <w:rPr>
            <w:highlight w:val="none"/>
          </w:rPr>
          <w:fldChar w:fldCharType="end"/>
        </w:r>
      </w:hyperlink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310"/>
        <w:ind w:firstLine="567"/>
        <w:tabs>
          <w:tab w:val="right" w:pos="9781" w:leader="dot"/>
        </w:tabs>
        <w:rPr>
          <w:rFonts w:asciiTheme="minorHAnsi" w:hAnsiTheme="minorHAnsi" w:eastAsiaTheme="minorEastAsia" w:cstheme="minorBidi"/>
          <w:b w:val="0"/>
          <w:bCs w:val="0"/>
          <w:highlight w:val="none"/>
        </w:rPr>
      </w:pPr>
      <w:r>
        <w:rPr>
          <w:highlight w:val="none"/>
        </w:rPr>
      </w:r>
      <w:hyperlink w:tooltip="#_Toc54646400" w:anchor="_Toc54646400" w:history="1">
        <w:r>
          <w:rPr>
            <w:rStyle w:val="1311"/>
            <w:highlight w:val="none"/>
          </w:rPr>
          <w:t xml:space="preserve">Таблица 1. Перечень объектов заказчика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_Toc54646400 \h </w:instrText>
        </w:r>
        <w:r>
          <w:rPr>
            <w:highlight w:val="none"/>
          </w:rPr>
          <w:fldChar w:fldCharType="separate"/>
        </w:r>
        <w:r>
          <w:rPr>
            <w:highlight w:val="none"/>
          </w:rPr>
          <w:t xml:space="preserve">4</w:t>
        </w:r>
        <w:r>
          <w:rPr>
            <w:highlight w:val="non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</w:p>
    <w:p>
      <w:pPr>
        <w:pStyle w:val="1312"/>
        <w:tabs>
          <w:tab w:val="left" w:pos="1120" w:leader="none"/>
          <w:tab w:val="right" w:pos="9781" w:leader="dot"/>
        </w:tabs>
        <w:rPr>
          <w:rFonts w:asciiTheme="minorHAnsi" w:hAnsiTheme="minorHAnsi" w:eastAsiaTheme="minorEastAsia" w:cstheme="minorBidi"/>
          <w:sz w:val="24"/>
          <w:szCs w:val="24"/>
          <w:highlight w:val="none"/>
        </w:rPr>
      </w:pPr>
      <w:r>
        <w:rPr>
          <w:highlight w:val="none"/>
        </w:rPr>
      </w:r>
      <w:hyperlink w:tooltip="#_Toc54646401" w:anchor="_Таблица_1." w:history="1">
        <w:r>
          <w:rPr>
            <w:rStyle w:val="1311"/>
            <w:iCs/>
            <w:color w:val="auto"/>
            <w:highlight w:val="none"/>
          </w:rPr>
          <w:t xml:space="preserve">1.5. Информация в отношении исполнения договора, которая должна быть учтена при подготовке заявки (в том числе п</w:t>
        </w:r>
        <w:r>
          <w:rPr>
            <w:rStyle w:val="1311"/>
            <w:iCs/>
            <w:color w:val="auto"/>
            <w:highlight w:val="none"/>
          </w:rPr>
          <w:t xml:space="preserve">еречень ресурсов, услуг и документов, предоставляемых заказчиком на этапе исполнения договора)..................................................................................................................................................................</w:t>
        </w:r>
        <w:r>
          <w:rPr>
            <w:rStyle w:val="1311"/>
            <w:iCs/>
            <w:color w:val="auto"/>
            <w:highlight w:val="none"/>
          </w:rPr>
          <w:t xml:space="preserve">...4</w:t>
        </w:r>
      </w:hyperlink>
      <w:r>
        <w:rPr>
          <w:rFonts w:asciiTheme="minorHAnsi" w:hAnsiTheme="minorHAnsi" w:eastAsiaTheme="minorEastAsia" w:cstheme="minorBidi"/>
          <w:sz w:val="24"/>
          <w:szCs w:val="24"/>
          <w:highlight w:val="none"/>
        </w:rPr>
      </w:r>
      <w:r>
        <w:rPr>
          <w:rFonts w:asciiTheme="minorHAnsi" w:hAnsiTheme="minorHAnsi" w:eastAsiaTheme="minorEastAsia" w:cstheme="minorBidi"/>
          <w:sz w:val="24"/>
          <w:szCs w:val="24"/>
          <w:highlight w:val="none"/>
        </w:rPr>
      </w:r>
    </w:p>
    <w:p>
      <w:pPr>
        <w:pStyle w:val="1310"/>
        <w:tabs>
          <w:tab w:val="left" w:pos="560" w:leader="none"/>
          <w:tab w:val="right" w:pos="9781" w:leader="dot"/>
        </w:tabs>
        <w:rPr>
          <w:rFonts w:asciiTheme="minorHAnsi" w:hAnsiTheme="minorHAnsi" w:eastAsiaTheme="minorEastAsia" w:cstheme="minorBidi"/>
          <w:bCs w:val="0"/>
          <w:highlight w:val="none"/>
        </w:rPr>
      </w:pPr>
      <w:r>
        <w:rPr>
          <w:highlight w:val="none"/>
        </w:rPr>
      </w:r>
      <w:hyperlink w:tooltip="#_Toc54646403" w:anchor="_Toc54646403" w:history="1">
        <w:r>
          <w:rPr>
            <w:rStyle w:val="1311"/>
            <w:highlight w:val="none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  <w:highlight w:val="none"/>
          </w:rPr>
          <w:tab/>
        </w:r>
        <w:r>
          <w:rPr>
            <w:rStyle w:val="1311"/>
            <w:iCs/>
            <w:highlight w:val="none"/>
          </w:rPr>
          <w:t xml:space="preserve">Требования к продукции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_Toc54646403 \h </w:instrText>
        </w:r>
        <w:r>
          <w:rPr>
            <w:highlight w:val="none"/>
          </w:rPr>
          <w:fldChar w:fldCharType="separate"/>
          <w:t xml:space="preserve">5</w:t>
        </w:r>
        <w:r>
          <w:rPr>
            <w:highlight w:val="none"/>
          </w:rPr>
          <w:fldChar w:fldCharType="end"/>
        </w:r>
      </w:hyperlink>
      <w:r>
        <w:rPr>
          <w:rFonts w:asciiTheme="minorHAnsi" w:hAnsiTheme="minorHAnsi" w:eastAsiaTheme="minorEastAsia" w:cstheme="minorBidi"/>
          <w:bCs w:val="0"/>
          <w:highlight w:val="none"/>
        </w:rPr>
      </w:r>
      <w:r>
        <w:rPr>
          <w:rFonts w:asciiTheme="minorHAnsi" w:hAnsiTheme="minorHAnsi" w:eastAsiaTheme="minorEastAsia" w:cstheme="minorBidi"/>
          <w:bCs w:val="0"/>
          <w:highlight w:val="none"/>
        </w:rPr>
      </w:r>
    </w:p>
    <w:p>
      <w:pPr>
        <w:pStyle w:val="1312"/>
        <w:tabs>
          <w:tab w:val="left" w:pos="1120" w:leader="none"/>
          <w:tab w:val="right" w:pos="9781" w:leader="dot"/>
        </w:tabs>
        <w:rPr>
          <w:rFonts w:asciiTheme="minorHAnsi" w:hAnsiTheme="minorHAnsi" w:eastAsiaTheme="minorEastAsia" w:cstheme="minorBidi"/>
          <w:sz w:val="24"/>
          <w:szCs w:val="24"/>
          <w:highlight w:val="none"/>
        </w:rPr>
      </w:pPr>
      <w:r>
        <w:rPr>
          <w:highlight w:val="none"/>
        </w:rPr>
      </w:r>
      <w:hyperlink w:tooltip="#_Toc54646404" w:anchor="_Toc54646404" w:history="1">
        <w:r>
          <w:rPr>
            <w:rStyle w:val="1311"/>
            <w:iCs/>
            <w:highlight w:val="none"/>
          </w:rPr>
          <w:t xml:space="preserve">2.1.</w:t>
        </w:r>
        <w:r>
          <w:rPr>
            <w:rFonts w:asciiTheme="minorHAnsi" w:hAnsiTheme="minorHAnsi" w:eastAsiaTheme="minorEastAsia" w:cstheme="minorBidi"/>
            <w:sz w:val="24"/>
            <w:szCs w:val="24"/>
            <w:highlight w:val="none"/>
          </w:rPr>
          <w:tab/>
        </w:r>
        <w:r>
          <w:rPr>
            <w:rStyle w:val="1311"/>
            <w:highlight w:val="none"/>
          </w:rPr>
          <w:t xml:space="preserve">Требования к объемам и срокам выполнения работ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_Toc54646404 \h </w:instrText>
        </w:r>
        <w:r>
          <w:rPr>
            <w:highlight w:val="none"/>
          </w:rPr>
          <w:fldChar w:fldCharType="separate"/>
          <w:t xml:space="preserve">5</w:t>
        </w:r>
        <w:r>
          <w:rPr>
            <w:highlight w:val="none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  <w:highlight w:val="none"/>
        </w:rPr>
      </w:r>
      <w:r>
        <w:rPr>
          <w:rFonts w:asciiTheme="minorHAnsi" w:hAnsiTheme="minorHAnsi" w:eastAsiaTheme="minorEastAsia" w:cstheme="minorBidi"/>
          <w:sz w:val="24"/>
          <w:szCs w:val="24"/>
          <w:highlight w:val="none"/>
        </w:rPr>
      </w:r>
    </w:p>
    <w:p>
      <w:pPr>
        <w:pStyle w:val="1312"/>
        <w:tabs>
          <w:tab w:val="left" w:pos="1120" w:leader="none"/>
          <w:tab w:val="right" w:pos="9781" w:leader="dot"/>
        </w:tabs>
        <w:rPr>
          <w:highlight w:val="none"/>
        </w:rPr>
      </w:pPr>
      <w:r>
        <w:rPr>
          <w:highlight w:val="none"/>
        </w:rPr>
      </w:r>
      <w:hyperlink w:tooltip="#_Toc54646404" w:anchor="_Toc54646404" w:history="1">
        <w:r>
          <w:rPr>
            <w:rStyle w:val="1311"/>
            <w:iCs/>
            <w:highlight w:val="none"/>
          </w:rPr>
          <w:t xml:space="preserve">2.1.1</w:t>
        </w:r>
        <w:r>
          <w:rPr>
            <w:rFonts w:asciiTheme="minorHAnsi" w:hAnsiTheme="minorHAnsi" w:eastAsiaTheme="minorEastAsia" w:cstheme="minorBidi"/>
            <w:sz w:val="24"/>
            <w:szCs w:val="24"/>
            <w:highlight w:val="none"/>
          </w:rPr>
          <w:tab/>
        </w:r>
        <w:r>
          <w:rPr>
            <w:rStyle w:val="1311"/>
            <w:highlight w:val="none"/>
          </w:rPr>
          <w:t xml:space="preserve">Требования к видам объемам работ............................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_Toc54646404 \h </w:instrText>
        </w:r>
        <w:r>
          <w:rPr>
            <w:highlight w:val="none"/>
          </w:rPr>
          <w:fldChar w:fldCharType="separate"/>
        </w:r>
        <w:r>
          <w:rPr>
            <w:highlight w:val="none"/>
          </w:rPr>
          <w:t xml:space="preserve">5</w:t>
        </w:r>
        <w:r>
          <w:rPr>
            <w:highlight w:val="none"/>
          </w:rPr>
          <w:fldChar w:fldCharType="end"/>
        </w:r>
      </w:hyperlink>
      <w:r>
        <w:rPr>
          <w:highlight w:val="none"/>
        </w:rPr>
      </w:r>
      <w:r>
        <w:rPr>
          <w:highlight w:val="none"/>
        </w:rPr>
      </w:r>
    </w:p>
    <w:p>
      <w:pPr>
        <w:pStyle w:val="1310"/>
        <w:ind w:firstLine="567"/>
        <w:tabs>
          <w:tab w:val="right" w:pos="9781" w:leader="dot"/>
        </w:tabs>
        <w:rPr>
          <w:rFonts w:asciiTheme="minorHAnsi" w:hAnsiTheme="minorHAnsi" w:eastAsiaTheme="minorEastAsia" w:cstheme="minorBidi"/>
          <w:b w:val="0"/>
          <w:bCs w:val="0"/>
          <w:highlight w:val="none"/>
        </w:rPr>
      </w:pPr>
      <w:r>
        <w:rPr>
          <w:highlight w:val="none"/>
        </w:rPr>
      </w:r>
      <w:hyperlink w:tooltip="#_Toc54646406" w:anchor="_Toc54646406" w:history="1">
        <w:r>
          <w:rPr>
            <w:rStyle w:val="1311"/>
            <w:highlight w:val="none"/>
          </w:rPr>
          <w:t xml:space="preserve">Таблица 2. Перечень и объем выполняемых работ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_Toc54646406 \h </w:instrText>
        </w:r>
        <w:r>
          <w:rPr>
            <w:highlight w:val="none"/>
          </w:rPr>
          <w:fldChar w:fldCharType="separate"/>
        </w:r>
        <w:r>
          <w:rPr>
            <w:highlight w:val="none"/>
          </w:rPr>
          <w:t xml:space="preserve">5</w:t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</w:p>
    <w:p>
      <w:pPr>
        <w:pStyle w:val="1312"/>
        <w:tabs>
          <w:tab w:val="left" w:pos="1120" w:leader="none"/>
          <w:tab w:val="right" w:pos="9781" w:leader="dot"/>
        </w:tabs>
        <w:rPr>
          <w:highlight w:val="none"/>
        </w:rPr>
      </w:pPr>
      <w:r>
        <w:rPr>
          <w:highlight w:val="none"/>
        </w:rPr>
      </w:r>
      <w:hyperlink w:tooltip="#_Toc54646404" w:anchor="_Toc54646404" w:history="1">
        <w:r>
          <w:rPr>
            <w:rStyle w:val="1311"/>
            <w:iCs/>
            <w:highlight w:val="none"/>
          </w:rPr>
          <w:t xml:space="preserve">2.1.2</w:t>
        </w:r>
        <w:r>
          <w:rPr>
            <w:rFonts w:asciiTheme="minorHAnsi" w:hAnsiTheme="minorHAnsi" w:eastAsiaTheme="minorEastAsia" w:cstheme="minorBidi"/>
            <w:sz w:val="24"/>
            <w:szCs w:val="24"/>
            <w:highlight w:val="none"/>
          </w:rPr>
          <w:tab/>
        </w:r>
        <w:r>
          <w:rPr>
            <w:rStyle w:val="1311"/>
            <w:highlight w:val="none"/>
          </w:rPr>
          <w:t xml:space="preserve">Требования к срокам выполнения работ....................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_Toc54646404 \h </w:instrText>
        </w:r>
        <w:r>
          <w:rPr>
            <w:highlight w:val="none"/>
          </w:rPr>
          <w:fldChar w:fldCharType="separate"/>
        </w:r>
        <w:r>
          <w:rPr>
            <w:highlight w:val="none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  <w:highlight w:val="none"/>
        </w:rPr>
        <w:t xml:space="preserve">5</w:t>
      </w:r>
      <w:r>
        <w:rPr>
          <w:highlight w:val="none"/>
        </w:rPr>
      </w:r>
      <w:r>
        <w:rPr>
          <w:highlight w:val="none"/>
        </w:rPr>
      </w:r>
    </w:p>
    <w:p>
      <w:pPr>
        <w:pStyle w:val="1310"/>
        <w:ind w:firstLine="567"/>
        <w:tabs>
          <w:tab w:val="right" w:pos="9781" w:leader="dot"/>
        </w:tabs>
        <w:rPr>
          <w:rFonts w:asciiTheme="minorHAnsi" w:hAnsiTheme="minorHAnsi" w:eastAsiaTheme="minorEastAsia" w:cstheme="minorBidi"/>
          <w:b w:val="0"/>
          <w:bCs w:val="0"/>
          <w:highlight w:val="none"/>
        </w:rPr>
      </w:pPr>
      <w:r>
        <w:rPr>
          <w:highlight w:val="none"/>
        </w:rPr>
      </w:r>
      <w:hyperlink w:tooltip="#_Toc54646408" w:anchor="_Toc54646408" w:history="1">
        <w:r>
          <w:rPr>
            <w:rStyle w:val="1311"/>
            <w:highlight w:val="none"/>
          </w:rPr>
          <w:t xml:space="preserve">Таблица 3. Требования по срокам выполнения работ</w:t>
        </w:r>
        <w:r>
          <w:rPr>
            <w:highlight w:val="none"/>
          </w:rPr>
          <w:tab/>
          <w:t xml:space="preserve">5</w:t>
        </w:r>
      </w:hyperlink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</w:p>
    <w:p>
      <w:pPr>
        <w:pStyle w:val="1312"/>
        <w:tabs>
          <w:tab w:val="left" w:pos="1120" w:leader="none"/>
          <w:tab w:val="right" w:pos="9781" w:leader="dot"/>
        </w:tabs>
        <w:rPr>
          <w:rFonts w:asciiTheme="minorHAnsi" w:hAnsiTheme="minorHAnsi" w:eastAsiaTheme="minorEastAsia" w:cstheme="minorBidi"/>
          <w:sz w:val="24"/>
          <w:szCs w:val="24"/>
          <w:highlight w:val="none"/>
        </w:rPr>
      </w:pPr>
      <w:r>
        <w:rPr>
          <w:highlight w:val="none"/>
        </w:rPr>
      </w:r>
      <w:hyperlink w:tooltip="#_Toc54646409" w:anchor="_Toc54646409" w:history="1">
        <w:r>
          <w:rPr>
            <w:rStyle w:val="1311"/>
            <w:iCs/>
            <w:highlight w:val="none"/>
          </w:rPr>
          <w:t xml:space="preserve">2.2.</w:t>
        </w:r>
        <w:r>
          <w:rPr>
            <w:rFonts w:asciiTheme="minorHAnsi" w:hAnsiTheme="minorHAnsi" w:eastAsiaTheme="minorEastAsia" w:cstheme="minorBidi"/>
            <w:sz w:val="24"/>
            <w:szCs w:val="24"/>
            <w:highlight w:val="none"/>
          </w:rPr>
          <w:tab/>
        </w:r>
        <w:r>
          <w:rPr>
            <w:rStyle w:val="1311"/>
            <w:highlight w:val="none"/>
          </w:rPr>
          <w:t xml:space="preserve">Требования к качеству работ</w:t>
        </w:r>
        <w:r>
          <w:rPr>
            <w:highlight w:val="none"/>
          </w:rPr>
          <w:tab/>
          <w:t xml:space="preserve">6</w:t>
        </w:r>
      </w:hyperlink>
      <w:r>
        <w:rPr>
          <w:rFonts w:asciiTheme="minorHAnsi" w:hAnsiTheme="minorHAnsi" w:eastAsiaTheme="minorEastAsia" w:cstheme="minorBidi"/>
          <w:sz w:val="24"/>
          <w:szCs w:val="24"/>
          <w:highlight w:val="none"/>
        </w:rPr>
      </w:r>
      <w:r>
        <w:rPr>
          <w:rFonts w:asciiTheme="minorHAnsi" w:hAnsiTheme="minorHAnsi" w:eastAsiaTheme="minorEastAsia" w:cstheme="minorBidi"/>
          <w:sz w:val="24"/>
          <w:szCs w:val="24"/>
          <w:highlight w:val="none"/>
        </w:rPr>
      </w:r>
    </w:p>
    <w:p>
      <w:pPr>
        <w:pStyle w:val="1310"/>
        <w:ind w:firstLine="567"/>
        <w:tabs>
          <w:tab w:val="right" w:pos="9781" w:leader="dot"/>
        </w:tabs>
        <w:rPr>
          <w:rFonts w:asciiTheme="minorHAnsi" w:hAnsiTheme="minorHAnsi" w:eastAsiaTheme="minorEastAsia" w:cstheme="minorBidi"/>
          <w:b w:val="0"/>
          <w:bCs w:val="0"/>
          <w:highlight w:val="none"/>
        </w:rPr>
      </w:pPr>
      <w:r>
        <w:rPr>
          <w:highlight w:val="none"/>
        </w:rPr>
      </w:r>
      <w:hyperlink w:tooltip="#_Toc54646410" w:anchor="_Toc54646410" w:history="1">
        <w:r>
          <w:rPr>
            <w:rStyle w:val="1311"/>
            <w:highlight w:val="none"/>
          </w:rPr>
          <w:t xml:space="preserve">Таблица 4. Требования к качеству работ</w:t>
        </w:r>
        <w:r>
          <w:rPr>
            <w:highlight w:val="none"/>
          </w:rPr>
          <w:tab/>
          <w:t xml:space="preserve">6</w:t>
        </w:r>
      </w:hyperlink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</w:p>
    <w:p>
      <w:pPr>
        <w:pStyle w:val="1310"/>
        <w:tabs>
          <w:tab w:val="left" w:pos="560" w:leader="none"/>
          <w:tab w:val="right" w:pos="9781" w:leader="dot"/>
        </w:tabs>
        <w:rPr>
          <w:rFonts w:asciiTheme="minorHAnsi" w:hAnsiTheme="minorHAnsi" w:eastAsiaTheme="minorEastAsia" w:cstheme="minorBidi"/>
          <w:b w:val="0"/>
          <w:bCs w:val="0"/>
          <w:highlight w:val="none"/>
        </w:rPr>
      </w:pPr>
      <w:r>
        <w:rPr>
          <w:highlight w:val="none"/>
        </w:rPr>
      </w:r>
      <w:hyperlink w:tooltip="#_Toc54646411" w:anchor="_Toc54646411" w:history="1">
        <w:r>
          <w:rPr>
            <w:rStyle w:val="1311"/>
            <w:highlight w:val="none"/>
          </w:rPr>
          <w:t xml:space="preserve">3.</w:t>
        </w:r>
        <w:r>
          <w:rPr>
            <w:rFonts w:asciiTheme="minorHAnsi" w:hAnsiTheme="minorHAnsi" w:eastAsiaTheme="minorEastAsia" w:cstheme="minorBidi"/>
            <w:b w:val="0"/>
            <w:bCs w:val="0"/>
            <w:highlight w:val="none"/>
          </w:rPr>
          <w:tab/>
        </w:r>
        <w:r>
          <w:rPr>
            <w:rStyle w:val="1311"/>
            <w:highlight w:val="none"/>
          </w:rPr>
          <w:t xml:space="preserve">Требования к документации по ценообразованию на этапе закупки</w:t>
        </w:r>
        <w:r>
          <w:rPr>
            <w:highlight w:val="none"/>
          </w:rPr>
          <w:tab/>
          <w:t xml:space="preserve">17</w:t>
        </w:r>
      </w:hyperlink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</w:p>
    <w:p>
      <w:pPr>
        <w:pStyle w:val="1310"/>
        <w:tabs>
          <w:tab w:val="left" w:pos="560" w:leader="none"/>
          <w:tab w:val="right" w:pos="9781" w:leader="dot"/>
        </w:tabs>
        <w:rPr>
          <w:rFonts w:asciiTheme="minorHAnsi" w:hAnsiTheme="minorHAnsi" w:eastAsiaTheme="minorEastAsia" w:cstheme="minorBidi"/>
          <w:b w:val="0"/>
          <w:bCs w:val="0"/>
          <w:highlight w:val="none"/>
        </w:rPr>
      </w:pPr>
      <w:r>
        <w:rPr>
          <w:highlight w:val="none"/>
        </w:rPr>
      </w:r>
      <w:hyperlink w:tooltip="#_Toc54646412" w:anchor="_Toc54646412" w:history="1">
        <w:r>
          <w:rPr>
            <w:rStyle w:val="1311"/>
            <w:highlight w:val="none"/>
          </w:rPr>
          <w:t xml:space="preserve">4.</w:t>
        </w:r>
        <w:r>
          <w:rPr>
            <w:rFonts w:asciiTheme="minorHAnsi" w:hAnsiTheme="minorHAnsi" w:eastAsiaTheme="minorEastAsia" w:cstheme="minorBidi"/>
            <w:b w:val="0"/>
            <w:bCs w:val="0"/>
            <w:highlight w:val="none"/>
          </w:rPr>
          <w:tab/>
        </w:r>
        <w:r>
          <w:rPr>
            <w:rStyle w:val="1311"/>
            <w:highlight w:val="none"/>
          </w:rPr>
          <w:t xml:space="preserve">Требования к документации по ценообразованию на этапе заключения (исполнения) договора</w:t>
        </w:r>
        <w:r>
          <w:rPr>
            <w:highlight w:val="none"/>
          </w:rPr>
          <w:tab/>
          <w:t xml:space="preserve">1</w:t>
        </w:r>
      </w:hyperlink>
      <w:r>
        <w:rPr>
          <w:highlight w:val="none"/>
        </w:rPr>
        <w:t xml:space="preserve">7</w:t>
      </w:r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</w:p>
    <w:p>
      <w:pPr>
        <w:pStyle w:val="1312"/>
        <w:tabs>
          <w:tab w:val="left" w:pos="1120" w:leader="none"/>
          <w:tab w:val="right" w:pos="9781" w:leader="dot"/>
        </w:tabs>
        <w:rPr>
          <w:highlight w:val="none"/>
        </w:rPr>
      </w:pPr>
      <w:r>
        <w:rPr>
          <w:highlight w:val="none"/>
        </w:rPr>
        <w:t xml:space="preserve">4</w:t>
      </w:r>
      <w:hyperlink w:tooltip="#_Toc54646409" w:anchor="_Toc54646409" w:history="1">
        <w:r>
          <w:rPr>
            <w:rStyle w:val="1311"/>
            <w:iCs/>
            <w:highlight w:val="none"/>
          </w:rPr>
          <w:t xml:space="preserve">.1.</w:t>
        </w:r>
        <w:r>
          <w:rPr>
            <w:rFonts w:asciiTheme="minorHAnsi" w:hAnsiTheme="minorHAnsi" w:eastAsiaTheme="minorEastAsia" w:cstheme="minorBidi"/>
            <w:sz w:val="24"/>
            <w:szCs w:val="24"/>
            <w:highlight w:val="none"/>
          </w:rPr>
          <w:tab/>
        </w:r>
        <w:r>
          <w:rPr>
            <w:rStyle w:val="1311"/>
            <w:highlight w:val="none"/>
          </w:rPr>
          <w:t xml:space="preserve">Требования к </w:t>
        </w:r>
        <w:r>
          <w:rPr>
            <w:b w:val="0"/>
            <w:bCs w:val="0"/>
            <w:iCs/>
            <w:highlight w:val="none"/>
          </w:rPr>
          <w:t xml:space="preserve">составлению сметной документации (при заключении договора)</w:t>
        </w:r>
        <w:r>
          <w:rPr>
            <w:rStyle w:val="1311"/>
            <w:highlight w:val="none"/>
          </w:rPr>
        </w:r>
      </w:hyperlink>
      <w:r>
        <w:rPr>
          <w:rFonts w:asciiTheme="minorHAnsi" w:hAnsiTheme="minorHAnsi" w:eastAsiaTheme="minorEastAsia" w:cstheme="minorBidi"/>
          <w:sz w:val="24"/>
          <w:szCs w:val="24"/>
          <w:highlight w:val="none"/>
        </w:rPr>
        <w:t xml:space="preserve">............................17</w:t>
      </w:r>
      <w:r>
        <w:rPr>
          <w:highlight w:val="none"/>
        </w:rPr>
      </w:r>
      <w:r>
        <w:rPr>
          <w:highlight w:val="none"/>
        </w:rPr>
      </w:r>
    </w:p>
    <w:p>
      <w:pPr>
        <w:pStyle w:val="1312"/>
        <w:tabs>
          <w:tab w:val="left" w:pos="1120" w:leader="none"/>
          <w:tab w:val="right" w:pos="9781" w:leader="dot"/>
        </w:tabs>
        <w:rPr>
          <w:highlight w:val="none"/>
        </w:rPr>
      </w:pPr>
      <w:r>
        <w:rPr>
          <w:highlight w:val="none"/>
        </w:rPr>
        <w:t xml:space="preserve">4</w:t>
      </w:r>
      <w:hyperlink w:tooltip="#_Toc54646409" w:anchor="_Toc54646409" w:history="1">
        <w:r>
          <w:rPr>
            <w:rStyle w:val="1311"/>
            <w:iCs/>
            <w:highlight w:val="none"/>
          </w:rPr>
          <w:t xml:space="preserve">.2.</w:t>
        </w:r>
        <w:r>
          <w:rPr>
            <w:rFonts w:asciiTheme="minorHAnsi" w:hAnsiTheme="minorHAnsi" w:eastAsiaTheme="minorEastAsia" w:cstheme="minorBidi"/>
            <w:sz w:val="24"/>
            <w:szCs w:val="24"/>
            <w:highlight w:val="none"/>
          </w:rPr>
          <w:tab/>
        </w:r>
        <w:r>
          <w:rPr>
            <w:rStyle w:val="1311"/>
            <w:highlight w:val="none"/>
          </w:rPr>
          <w:t xml:space="preserve">Требования к </w:t>
        </w:r>
        <w:r>
          <w:rPr>
            <w:b w:val="0"/>
            <w:bCs w:val="0"/>
            <w:iCs/>
            <w:highlight w:val="none"/>
          </w:rPr>
          <w:t xml:space="preserve">составлению сметной документации (на этапе исполнения договора)</w:t>
        </w:r>
        <w:r>
          <w:rPr>
            <w:rStyle w:val="1311"/>
            <w:highlight w:val="none"/>
          </w:rPr>
        </w:r>
      </w:hyperlink>
      <w:r>
        <w:rPr>
          <w:rFonts w:asciiTheme="minorHAnsi" w:hAnsiTheme="minorHAnsi" w:eastAsiaTheme="minorEastAsia" w:cstheme="minorBidi"/>
          <w:sz w:val="24"/>
          <w:szCs w:val="24"/>
          <w:highlight w:val="none"/>
        </w:rPr>
        <w:t xml:space="preserve">......................17</w:t>
      </w:r>
      <w:r>
        <w:rPr>
          <w:highlight w:val="none"/>
        </w:rPr>
      </w:r>
      <w:r>
        <w:rPr>
          <w:highlight w:val="none"/>
        </w:rPr>
      </w:r>
    </w:p>
    <w:p>
      <w:pPr>
        <w:pStyle w:val="1310"/>
        <w:tabs>
          <w:tab w:val="left" w:pos="560" w:leader="none"/>
          <w:tab w:val="right" w:pos="9781" w:leader="dot"/>
        </w:tabs>
        <w:rPr>
          <w:rFonts w:asciiTheme="minorHAnsi" w:hAnsiTheme="minorHAnsi" w:eastAsiaTheme="minorEastAsia" w:cstheme="minorBidi"/>
          <w:b w:val="0"/>
          <w:bCs w:val="0"/>
          <w:highlight w:val="none"/>
        </w:rPr>
      </w:pPr>
      <w:r>
        <w:rPr>
          <w:highlight w:val="none"/>
        </w:rPr>
      </w:r>
      <w:hyperlink w:tooltip="#_Toc54646413" w:anchor="_Toc54646413" w:history="1">
        <w:r>
          <w:rPr>
            <w:rStyle w:val="1311"/>
            <w:highlight w:val="none"/>
          </w:rPr>
          <w:t xml:space="preserve">5.</w:t>
        </w:r>
        <w:r>
          <w:rPr>
            <w:rFonts w:asciiTheme="minorHAnsi" w:hAnsiTheme="minorHAnsi" w:eastAsiaTheme="minorEastAsia" w:cstheme="minorBidi"/>
            <w:b w:val="0"/>
            <w:bCs w:val="0"/>
            <w:highlight w:val="none"/>
          </w:rPr>
          <w:tab/>
        </w:r>
        <w:r>
          <w:rPr>
            <w:rStyle w:val="1311"/>
            <w:iCs/>
            <w:highlight w:val="none"/>
          </w:rPr>
          <w:t xml:space="preserve">Приложения</w:t>
        </w:r>
        <w:r>
          <w:rPr>
            <w:highlight w:val="none"/>
          </w:rPr>
          <w:tab/>
          <w:t xml:space="preserve">1</w:t>
        </w:r>
      </w:hyperlink>
      <w:r>
        <w:rPr>
          <w:highlight w:val="none"/>
        </w:rPr>
        <w:t xml:space="preserve">8</w:t>
      </w:r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</w:p>
    <w:p>
      <w:pPr>
        <w:jc w:val="center"/>
        <w:keepLines/>
        <w:keepNext/>
        <w:rPr>
          <w:rFonts w:eastAsia="Calibri"/>
          <w:b/>
          <w:i/>
          <w:sz w:val="26"/>
          <w:szCs w:val="26"/>
          <w:highlight w:val="none"/>
        </w:rPr>
      </w:pPr>
      <w:r>
        <w:rPr>
          <w:rFonts w:cstheme="majorHAnsi"/>
          <w:b/>
          <w:i/>
          <w:highlight w:val="none"/>
        </w:rPr>
        <w:fldChar w:fldCharType="end"/>
      </w:r>
      <w:r>
        <w:rPr>
          <w:rFonts w:eastAsia="Calibri"/>
          <w:b/>
          <w:i/>
          <w:sz w:val="26"/>
          <w:szCs w:val="26"/>
          <w:highlight w:val="none"/>
        </w:rPr>
      </w:r>
      <w:r>
        <w:rPr>
          <w:rFonts w:eastAsia="Calibri"/>
          <w:b/>
          <w:i/>
          <w:sz w:val="26"/>
          <w:szCs w:val="26"/>
          <w:highlight w:val="none"/>
        </w:rPr>
      </w:r>
    </w:p>
    <w:p>
      <w:pPr>
        <w:spacing w:after="160" w:line="259" w:lineRule="auto"/>
        <w:rPr>
          <w:highlight w:val="none"/>
        </w:rPr>
      </w:pPr>
      <w:r>
        <w:rPr>
          <w:highlight w:val="none"/>
        </w:rPr>
        <w:br w:type="page" w:clear="all"/>
      </w:r>
      <w:r>
        <w:rPr>
          <w:highlight w:val="none"/>
        </w:rPr>
      </w:r>
      <w:r>
        <w:rPr>
          <w:highlight w:val="none"/>
        </w:rPr>
      </w:r>
    </w:p>
    <w:p>
      <w:pPr>
        <w:pStyle w:val="1124"/>
        <w:ind w:left="357" w:hanging="357"/>
        <w:jc w:val="center"/>
        <w:keepLines/>
        <w:rPr>
          <w:caps/>
          <w:sz w:val="24"/>
          <w:szCs w:val="24"/>
          <w:highlight w:val="none"/>
        </w:rPr>
      </w:pPr>
      <w:r>
        <w:rPr>
          <w:highlight w:val="none"/>
        </w:rPr>
      </w:r>
      <w:bookmarkStart w:id="0" w:name="_Toc51339692"/>
      <w:r>
        <w:rPr>
          <w:highlight w:val="none"/>
        </w:rPr>
      </w:r>
      <w:bookmarkStart w:id="1" w:name="_Toc54646395"/>
      <w:r>
        <w:rPr>
          <w:sz w:val="24"/>
          <w:szCs w:val="24"/>
          <w:highlight w:val="none"/>
        </w:rPr>
        <w:t xml:space="preserve">Общие сведения</w:t>
      </w:r>
      <w:bookmarkEnd w:id="0"/>
      <w:r>
        <w:rPr>
          <w:highlight w:val="none"/>
        </w:rPr>
      </w:r>
      <w:bookmarkEnd w:id="1"/>
      <w:r>
        <w:rPr>
          <w:caps/>
          <w:sz w:val="24"/>
          <w:szCs w:val="24"/>
          <w:highlight w:val="none"/>
        </w:rPr>
      </w:r>
      <w:r>
        <w:rPr>
          <w:caps/>
          <w:sz w:val="24"/>
          <w:szCs w:val="24"/>
          <w:highlight w:val="none"/>
        </w:rPr>
      </w:r>
    </w:p>
    <w:p>
      <w:pPr>
        <w:pStyle w:val="1127"/>
        <w:rPr>
          <w:highlight w:val="none"/>
        </w:rPr>
      </w:pPr>
      <w:r>
        <w:rPr>
          <w:highlight w:val="none"/>
        </w:rPr>
      </w:r>
      <w:bookmarkStart w:id="2" w:name="_Toc46743505"/>
      <w:r>
        <w:rPr>
          <w:highlight w:val="none"/>
        </w:rPr>
      </w:r>
      <w:bookmarkStart w:id="3" w:name="_Toc54646396"/>
      <w:r>
        <w:rPr>
          <w:highlight w:val="none"/>
        </w:rPr>
        <w:t xml:space="preserve">Обозначения и сокращения</w:t>
      </w:r>
      <w:bookmarkEnd w:id="2"/>
      <w:r>
        <w:rPr>
          <w:highlight w:val="none"/>
        </w:rPr>
      </w:r>
      <w:bookmarkEnd w:id="3"/>
      <w:r>
        <w:rPr>
          <w:highlight w:val="none"/>
        </w:rPr>
      </w:r>
      <w:r>
        <w:rPr>
          <w:highlight w:val="none"/>
        </w:rPr>
      </w:r>
    </w:p>
    <w:p>
      <w:pPr>
        <w:rPr>
          <w:rStyle w:val="1320"/>
          <w:b w:val="0"/>
          <w:bCs/>
          <w:iCs/>
          <w:sz w:val="24"/>
          <w:szCs w:val="24"/>
          <w:highlight w:val="none"/>
        </w:rPr>
      </w:pPr>
      <w:r>
        <w:rPr>
          <w:b w:val="0"/>
          <w:bCs/>
          <w:iCs/>
          <w:sz w:val="24"/>
          <w:szCs w:val="24"/>
          <w:highlight w:val="none"/>
        </w:rPr>
      </w:r>
      <w:r>
        <w:rPr>
          <w:rStyle w:val="1320"/>
          <w:b w:val="0"/>
          <w:bCs/>
          <w:iCs/>
          <w:sz w:val="24"/>
          <w:szCs w:val="24"/>
          <w:highlight w:val="none"/>
        </w:rPr>
      </w:r>
      <w:r>
        <w:rPr>
          <w:rStyle w:val="1320"/>
          <w:b w:val="0"/>
          <w:bCs/>
          <w:iCs/>
          <w:sz w:val="24"/>
          <w:szCs w:val="24"/>
          <w:highlight w:val="none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320"/>
                <w:b w:val="0"/>
                <w:bCs/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ТТ</w:t>
            </w:r>
            <w:r>
              <w:rPr>
                <w:rStyle w:val="1320"/>
                <w:b w:val="0"/>
                <w:bCs/>
                <w:iCs/>
                <w:sz w:val="24"/>
                <w:szCs w:val="24"/>
                <w:highlight w:val="none"/>
              </w:rPr>
            </w:r>
            <w:r>
              <w:rPr>
                <w:rStyle w:val="1320"/>
                <w:b w:val="0"/>
                <w:bCs/>
                <w:iCs/>
                <w:sz w:val="24"/>
                <w:szCs w:val="24"/>
                <w:highlight w:val="none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320"/>
                <w:b w:val="0"/>
                <w:bCs/>
                <w:i w:val="0"/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Технические требования</w:t>
            </w:r>
            <w:r>
              <w:rPr>
                <w:rStyle w:val="1320"/>
                <w:b w:val="0"/>
                <w:bCs/>
                <w:i w:val="0"/>
                <w:iCs/>
                <w:sz w:val="24"/>
                <w:szCs w:val="24"/>
                <w:highlight w:val="none"/>
              </w:rPr>
            </w:r>
            <w:r>
              <w:rPr>
                <w:rStyle w:val="1320"/>
                <w:b w:val="0"/>
                <w:bCs/>
                <w:i w:val="0"/>
                <w:iCs/>
                <w:sz w:val="24"/>
                <w:szCs w:val="24"/>
                <w:highlight w:val="non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НДТ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Нормативно-техническая документация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СП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Свод правил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МДС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методические документы в строительстве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ВСН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Ведомственные строительные нормы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СТО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Стандарт организации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РД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Рабочая документация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СНиП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Строительные нормы и правила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СО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Стандарт организации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</w:tr>
      <w:tr>
        <w:tblPrEx/>
        <w:trPr>
          <w:jc w:val="center"/>
          <w:trHeight w:val="396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ППР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Проект производства работ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</w:tr>
      <w:tr>
        <w:tblPrEx/>
        <w:trPr>
          <w:jc w:val="center"/>
          <w:trHeight w:val="442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АКЗ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Антикоррозийная защита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442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МТР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Материально технические ресурсы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442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ХЦ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Химический цех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trHeight w:val="442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ЭЦ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Электрический цех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trHeight w:val="442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КЦ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Котельный цех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trHeight w:val="442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ТТЦ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Топливно-транспортный цех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spacing w:after="160" w:line="259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br w:type="page" w:clear="all"/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127"/>
        <w:rPr>
          <w:highlight w:val="none"/>
        </w:rPr>
      </w:pPr>
      <w:r>
        <w:rPr>
          <w:highlight w:val="none"/>
        </w:rPr>
      </w:r>
      <w:bookmarkStart w:id="4" w:name="_Toc54646397"/>
      <w:r>
        <w:rPr>
          <w:highlight w:val="none"/>
        </w:rPr>
        <w:t xml:space="preserve">Наименование закупаемой продукции</w:t>
      </w:r>
      <w:bookmarkEnd w:id="4"/>
      <w:r>
        <w:rPr>
          <w:highlight w:val="none"/>
        </w:rPr>
      </w:r>
      <w:r>
        <w:rPr>
          <w:highlight w:val="none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rFonts w:eastAsia="Calibri"/>
          <w:sz w:val="24"/>
          <w:szCs w:val="24"/>
          <w:highlight w:val="none"/>
          <w14:ligatures w14:val="none"/>
        </w:rPr>
      </w:pPr>
      <w:r>
        <w:rPr>
          <w:rFonts w:eastAsia="Calibri"/>
          <w:sz w:val="24"/>
          <w:szCs w:val="24"/>
          <w:highlight w:val="none"/>
        </w:rPr>
        <w:t xml:space="preserve">«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ОКПД2 43.99.90.190. Выполнение работ по ремонту антикоррозионной защиты оборудования Хабаровской ТЭЦ-1 в г. Хабаровск</w:t>
      </w:r>
      <w:r>
        <w:rPr>
          <w:rFonts w:eastAsia="Calibri"/>
          <w:sz w:val="24"/>
          <w:szCs w:val="24"/>
          <w:highlight w:val="none"/>
        </w:rPr>
        <w:t xml:space="preserve">»</w:t>
      </w:r>
      <w:bookmarkStart w:id="5" w:name="_Toc46743507"/>
      <w:r>
        <w:rPr>
          <w:rFonts w:eastAsia="Calibri"/>
          <w:sz w:val="24"/>
          <w:szCs w:val="24"/>
          <w:highlight w:val="none"/>
        </w:rPr>
      </w:r>
      <w:bookmarkStart w:id="6" w:name="_Toc54646398"/>
      <w:r>
        <w:rPr>
          <w:rFonts w:eastAsia="Calibri"/>
          <w:sz w:val="24"/>
          <w:szCs w:val="24"/>
          <w:highlight w:val="none"/>
          <w14:ligatures w14:val="none"/>
        </w:rPr>
      </w:r>
      <w:r>
        <w:rPr>
          <w:rFonts w:eastAsia="Calibri"/>
          <w:sz w:val="24"/>
          <w:szCs w:val="24"/>
          <w:highlight w:val="none"/>
          <w14:ligatures w14:val="none"/>
        </w:rPr>
      </w:r>
    </w:p>
    <w:p>
      <w:pPr>
        <w:pStyle w:val="1127"/>
        <w:rPr>
          <w:rStyle w:val="1320"/>
          <w:b/>
          <w:highlight w:val="none"/>
        </w:rPr>
      </w:pPr>
      <w:r>
        <w:rPr>
          <w:highlight w:val="none"/>
        </w:rPr>
        <w:t xml:space="preserve">Цель </w:t>
      </w:r>
      <w:bookmarkEnd w:id="5"/>
      <w:r>
        <w:rPr>
          <w:highlight w:val="none"/>
        </w:rPr>
        <w:t xml:space="preserve">выполнения работ </w:t>
      </w:r>
      <w:bookmarkEnd w:id="6"/>
      <w:r>
        <w:rPr>
          <w:rStyle w:val="1320"/>
          <w:b/>
          <w:highlight w:val="none"/>
        </w:rPr>
      </w:r>
      <w:r>
        <w:rPr>
          <w:rStyle w:val="1320"/>
          <w:b/>
          <w:highlight w:val="none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rFonts w:eastAsia="Calibri"/>
          <w:sz w:val="24"/>
          <w:szCs w:val="24"/>
          <w:highlight w:val="none"/>
          <w14:ligatures w14:val="none"/>
        </w:rPr>
      </w:pP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  <w:tab/>
      </w:r>
      <w:r>
        <w:rPr>
          <w:rFonts w:ascii="Times New Roman" w:hAnsi="Times New Roman"/>
          <w:i w:val="0"/>
          <w:iCs w:val="0"/>
          <w:sz w:val="24"/>
          <w:szCs w:val="28"/>
          <w:highlight w:val="none"/>
        </w:rPr>
        <w:t xml:space="preserve">Защита от воздействия агрессивной среды в период эксплуатации, а также увеличение продолжительности работы энергетического оборудования, трубопроводов, кабелей, конструкций и сооружений</w:t>
      </w:r>
      <w:r>
        <w:rPr>
          <w:rFonts w:eastAsia="Calibri"/>
          <w:i w:val="0"/>
          <w:iCs w:val="0"/>
          <w:sz w:val="24"/>
          <w:szCs w:val="24"/>
        </w:rPr>
        <w:t xml:space="preserve"> Хабаровской ТЭЦ-1</w:t>
      </w:r>
      <w:r>
        <w:rPr>
          <w:rFonts w:eastAsia="Calibri"/>
          <w:sz w:val="24"/>
          <w:szCs w:val="24"/>
          <w:highlight w:val="none"/>
        </w:rPr>
        <w:t xml:space="preserve">.</w:t>
      </w:r>
      <w:r>
        <w:rPr>
          <w:rFonts w:eastAsia="Calibri"/>
          <w:sz w:val="24"/>
          <w:szCs w:val="24"/>
          <w:highlight w:val="none"/>
          <w14:ligatures w14:val="none"/>
        </w:rPr>
      </w:r>
      <w:r>
        <w:rPr>
          <w:rFonts w:eastAsia="Calibri"/>
          <w:sz w:val="24"/>
          <w:szCs w:val="24"/>
          <w:highlight w:val="none"/>
          <w14:ligatures w14:val="none"/>
        </w:rPr>
      </w:r>
    </w:p>
    <w:p>
      <w:pPr>
        <w:pStyle w:val="1127"/>
        <w:rPr>
          <w:highlight w:val="none"/>
          <w14:ligatures w14:val="none"/>
        </w:rPr>
      </w:pPr>
      <w:r>
        <w:rPr>
          <w:highlight w:val="none"/>
        </w:rPr>
        <w:t xml:space="preserve">Существующее положение</w:t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rFonts w:eastAsia="Calibri"/>
          <w:highlight w:val="none"/>
          <w14:ligatures w14:val="none"/>
        </w:rPr>
      </w:pPr>
      <w:r>
        <w:rPr>
          <w:rFonts w:eastAsia="Calibri"/>
          <w:sz w:val="24"/>
          <w:szCs w:val="24"/>
          <w:highlight w:val="none"/>
        </w:rPr>
        <w:tab/>
        <w:t xml:space="preserve">«Хабаровская ТЭЦ-1</w:t>
      </w:r>
      <w:r>
        <w:rPr>
          <w:rFonts w:eastAsia="Calibri"/>
          <w:sz w:val="24"/>
          <w:szCs w:val="24"/>
          <w:highlight w:val="none"/>
        </w:rPr>
        <w:t xml:space="preserve">» – структурное подразделение АО «Дальневосточная генерирующая компания» (АО «ДГК»), входящее в Группу РусГидро, действует на территории г. </w:t>
      </w:r>
      <w:r>
        <w:rPr>
          <w:rFonts w:eastAsia="Calibri"/>
          <w:sz w:val="24"/>
          <w:szCs w:val="24"/>
          <w:highlight w:val="none"/>
        </w:rPr>
        <w:t xml:space="preserve">Хабаровск. Основные виды деятельности – производство электрической и тепловой энергии, транспортировка и реализация тепловой энергии населению и юридическим лицам.</w:t>
      </w:r>
      <w:r>
        <w:rPr>
          <w:rFonts w:eastAsia="Calibri"/>
          <w:highlight w:val="none"/>
          <w14:ligatures w14:val="none"/>
        </w:rPr>
      </w:r>
      <w:r>
        <w:rPr>
          <w:rFonts w:eastAsia="Calibri"/>
          <w:highlight w:val="none"/>
          <w14:ligatures w14:val="none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rFonts w:eastAsia="Calibri"/>
          <w:highlight w:val="none"/>
          <w14:ligatures w14:val="none"/>
        </w:rPr>
      </w:pPr>
      <w:r>
        <w:rPr>
          <w:rFonts w:eastAsia="Calibri"/>
          <w:sz w:val="24"/>
          <w:szCs w:val="24"/>
          <w:highlight w:val="none"/>
        </w:rPr>
        <w:tab/>
        <w:t xml:space="preserve">Хабаровская ТЭЦ-1</w:t>
      </w:r>
      <w:r>
        <w:rPr>
          <w:rFonts w:eastAsia="Calibri"/>
          <w:sz w:val="24"/>
          <w:szCs w:val="24"/>
          <w:highlight w:val="none"/>
        </w:rPr>
        <w:t xml:space="preserve"> представляет собой тепловую электростанцию с комбинированной выработкой электроэнергии и тепла. </w:t>
      </w:r>
      <w:r>
        <w:rPr>
          <w:rFonts w:eastAsia="Calibri"/>
          <w:highlight w:val="none"/>
          <w14:ligatures w14:val="none"/>
        </w:rPr>
      </w:r>
      <w:r>
        <w:rPr>
          <w:rFonts w:eastAsia="Calibri"/>
          <w:highlight w:val="none"/>
          <w14:ligatures w14:val="none"/>
        </w:rPr>
      </w:r>
    </w:p>
    <w:p>
      <w:pPr>
        <w:pStyle w:val="1124"/>
        <w:numPr>
          <w:ilvl w:val="0"/>
          <w:numId w:val="0"/>
        </w:numPr>
        <w:keepLines/>
        <w:spacing w:before="240"/>
        <w:rPr>
          <w:sz w:val="24"/>
          <w:szCs w:val="24"/>
          <w:highlight w:val="none"/>
        </w:rPr>
      </w:pPr>
      <w:r>
        <w:rPr>
          <w:highlight w:val="none"/>
        </w:rPr>
      </w:r>
      <w:bookmarkStart w:id="7" w:name="_Таблица_1."/>
      <w:r>
        <w:rPr>
          <w:highlight w:val="none"/>
        </w:rPr>
      </w:r>
      <w:bookmarkStart w:id="8" w:name="_Toc54646400"/>
      <w:r>
        <w:rPr>
          <w:highlight w:val="none"/>
        </w:rPr>
      </w:r>
      <w:bookmarkEnd w:id="7"/>
      <w:r>
        <w:rPr>
          <w:sz w:val="24"/>
          <w:szCs w:val="24"/>
          <w:highlight w:val="none"/>
        </w:rPr>
        <w:t xml:space="preserve">Таблица 1. Перечень объектов заказчика</w:t>
      </w:r>
      <w:bookmarkEnd w:id="8"/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W w:w="9779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2836"/>
        <w:gridCol w:w="1984"/>
        <w:gridCol w:w="4110"/>
      </w:tblGrid>
      <w:tr>
        <w:tblPrEx/>
        <w:trPr/>
        <w:tc>
          <w:tcPr>
            <w:tcW w:w="849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№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п/п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2836" w:type="dxa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Наименование объекта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Расположение объекта </w:t>
            </w:r>
            <w:r>
              <w:rPr>
                <w:sz w:val="24"/>
                <w:szCs w:val="24"/>
                <w:highlight w:val="none"/>
              </w:rPr>
              <w:br/>
            </w:r>
            <w:r>
              <w:rPr>
                <w:i/>
                <w:iCs/>
                <w:sz w:val="24"/>
                <w:szCs w:val="24"/>
                <w:highlight w:val="none"/>
              </w:rPr>
              <w:t xml:space="preserve">(место производства работ)</w:t>
            </w: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  <w:highlight w:val="none"/>
              </w:rPr>
              <w:br/>
              <w:t xml:space="preserve">(в отношении которого выполняются работы)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tcW w:w="849" w:type="dxa"/>
            <w:textDirection w:val="lrTb"/>
            <w:noWrap w:val="false"/>
          </w:tcPr>
          <w:p>
            <w:pPr>
              <w:jc w:val="center"/>
              <w:rPr>
                <w:bCs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1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2836" w:type="dxa"/>
            <w:textDirection w:val="lrTb"/>
            <w:noWrap w:val="false"/>
          </w:tcPr>
          <w:p>
            <w:pPr>
              <w:jc w:val="center"/>
              <w:rPr>
                <w:bCs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2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bCs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3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jc w:val="center"/>
              <w:rPr>
                <w:bCs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4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</w:tc>
      </w:tr>
      <w:tr>
        <w:tblPrEx/>
        <w:trPr>
          <w:trHeight w:val="878"/>
        </w:trPr>
        <w:tc>
          <w:tcPr>
            <w:tcW w:w="849" w:type="dxa"/>
            <w:textDirection w:val="lrTb"/>
            <w:noWrap w:val="false"/>
          </w:tcPr>
          <w:p>
            <w:pPr>
              <w:pStyle w:val="1323"/>
              <w:numPr>
                <w:ilvl w:val="0"/>
                <w:numId w:val="74"/>
              </w:num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W w:w="283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Cs w:val="0"/>
                <w:i w:val="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  <w:t xml:space="preserve">Анионитовый фильтр 1 ступени №2</w:t>
            </w:r>
            <w:r>
              <w:rPr>
                <w:rFonts w:eastAsia="Calibri"/>
                <w:sz w:val="24"/>
                <w:szCs w:val="24"/>
              </w:rPr>
              <w:t xml:space="preserve"> ХЦ</w:t>
            </w:r>
            <w:r>
              <w:rPr>
                <w:rFonts w:eastAsia="Calibri"/>
                <w:bCs w:val="0"/>
                <w:i w:val="0"/>
                <w:sz w:val="24"/>
                <w:szCs w:val="24"/>
              </w:rPr>
            </w:r>
            <w:r>
              <w:rPr>
                <w:rFonts w:eastAsia="Calibri"/>
                <w:bCs w:val="0"/>
                <w:i w:val="0"/>
                <w:sz w:val="24"/>
                <w:szCs w:val="24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eastAsia="Calibri"/>
                <w:sz w:val="24"/>
                <w:szCs w:val="24"/>
                <w:highlight w:val="none"/>
              </w:rPr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Хабаровской ТЭЦ-1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W w:w="1984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iCs/>
                <w:sz w:val="24"/>
                <w:szCs w:val="22"/>
              </w:rPr>
              <w:t xml:space="preserve">Российская Федерация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2"/>
                <w:szCs w:val="22"/>
              </w:rPr>
              <w:t xml:space="preserve">Хабаровский край,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18"/>
              </w:rPr>
              <w:t xml:space="preserve">г. Хабаровск,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2"/>
                <w:szCs w:val="18"/>
              </w:rPr>
              <w:t xml:space="preserve">ул. Узловая, 15а, </w:t>
            </w:r>
            <w:r>
              <w:rPr>
                <w:iCs/>
                <w:sz w:val="24"/>
                <w:szCs w:val="22"/>
              </w:rPr>
              <w:t xml:space="preserve">Хабаровская ТЭЦ-1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iCs/>
                <w:sz w:val="24"/>
                <w:szCs w:val="22"/>
              </w:rPr>
            </w:pPr>
            <w:r>
              <w:rPr>
                <w:iCs/>
                <w:sz w:val="24"/>
                <w:szCs w:val="22"/>
              </w:rPr>
            </w:r>
            <w:r>
              <w:rPr>
                <w:iCs/>
                <w:sz w:val="24"/>
                <w:szCs w:val="22"/>
              </w:rPr>
            </w:r>
            <w:r>
              <w:rPr>
                <w:iCs/>
                <w:sz w:val="24"/>
                <w:szCs w:val="22"/>
              </w:rPr>
            </w:r>
          </w:p>
          <w:p>
            <w:pPr>
              <w:rPr>
                <w:iCs/>
                <w:sz w:val="24"/>
                <w:szCs w:val="22"/>
              </w:rPr>
            </w:pPr>
            <w:r>
              <w:rPr>
                <w:iCs/>
                <w:sz w:val="24"/>
                <w:szCs w:val="22"/>
              </w:rPr>
            </w:r>
            <w:r>
              <w:rPr>
                <w:iCs/>
                <w:sz w:val="24"/>
                <w:szCs w:val="22"/>
              </w:rPr>
            </w:r>
            <w:r>
              <w:rPr>
                <w:iCs/>
                <w:sz w:val="24"/>
                <w:szCs w:val="22"/>
              </w:rPr>
            </w:r>
          </w:p>
          <w:p>
            <w:pPr>
              <w:rPr>
                <w:iCs/>
                <w:sz w:val="24"/>
                <w:szCs w:val="22"/>
              </w:rPr>
            </w:pPr>
            <w:r>
              <w:rPr>
                <w:iCs/>
                <w:sz w:val="24"/>
                <w:szCs w:val="22"/>
              </w:rPr>
            </w:r>
            <w:r>
              <w:rPr>
                <w:iCs/>
                <w:sz w:val="24"/>
                <w:szCs w:val="22"/>
              </w:rPr>
            </w:r>
            <w:r>
              <w:rPr>
                <w:iCs/>
                <w:sz w:val="24"/>
                <w:szCs w:val="22"/>
              </w:rPr>
            </w:r>
          </w:p>
          <w:p>
            <w:pPr>
              <w:rPr>
                <w:iCs/>
                <w:sz w:val="24"/>
                <w:szCs w:val="22"/>
              </w:rPr>
            </w:pPr>
            <w:r>
              <w:rPr>
                <w:iCs/>
                <w:sz w:val="24"/>
                <w:szCs w:val="22"/>
              </w:rPr>
            </w:r>
            <w:r>
              <w:rPr>
                <w:iCs/>
                <w:sz w:val="24"/>
                <w:szCs w:val="22"/>
              </w:rPr>
            </w:r>
            <w:r>
              <w:rPr>
                <w:iCs/>
                <w:sz w:val="24"/>
                <w:szCs w:val="22"/>
              </w:rPr>
            </w:r>
          </w:p>
          <w:p>
            <w:pPr>
              <w:rPr>
                <w:iCs/>
                <w:sz w:val="24"/>
                <w:szCs w:val="22"/>
              </w:rPr>
            </w:pPr>
            <w:r>
              <w:rPr>
                <w:iCs/>
                <w:sz w:val="24"/>
                <w:szCs w:val="22"/>
              </w:rPr>
            </w:r>
            <w:r>
              <w:rPr>
                <w:iCs/>
                <w:sz w:val="24"/>
                <w:szCs w:val="22"/>
              </w:rPr>
            </w:r>
            <w:r>
              <w:rPr>
                <w:iCs/>
                <w:sz w:val="24"/>
                <w:szCs w:val="22"/>
              </w:rPr>
            </w:r>
          </w:p>
          <w:p>
            <w:pPr>
              <w:rPr>
                <w:iCs/>
                <w:sz w:val="24"/>
                <w:szCs w:val="22"/>
              </w:rPr>
            </w:pPr>
            <w:r>
              <w:rPr>
                <w:iCs/>
                <w:sz w:val="24"/>
                <w:szCs w:val="22"/>
              </w:rPr>
            </w:r>
            <w:r>
              <w:rPr>
                <w:iCs/>
                <w:sz w:val="24"/>
                <w:szCs w:val="22"/>
              </w:rPr>
            </w:r>
            <w:r>
              <w:rPr>
                <w:iCs/>
                <w:sz w:val="24"/>
                <w:szCs w:val="22"/>
              </w:rPr>
            </w:r>
          </w:p>
          <w:p>
            <w:pPr>
              <w:rPr>
                <w:iCs/>
                <w:sz w:val="24"/>
                <w:szCs w:val="22"/>
              </w:rPr>
            </w:pPr>
            <w:r>
              <w:rPr>
                <w:iCs/>
                <w:sz w:val="24"/>
                <w:szCs w:val="22"/>
              </w:rPr>
            </w:r>
            <w:r>
              <w:rPr>
                <w:iCs/>
                <w:sz w:val="24"/>
                <w:szCs w:val="22"/>
              </w:rPr>
            </w:r>
            <w:r>
              <w:rPr>
                <w:iCs/>
                <w:sz w:val="24"/>
                <w:szCs w:val="22"/>
              </w:rPr>
            </w:r>
          </w:p>
          <w:p>
            <w:pPr>
              <w:rPr>
                <w:iCs/>
                <w:sz w:val="24"/>
                <w:szCs w:val="22"/>
              </w:rPr>
            </w:pPr>
            <w:r>
              <w:rPr>
                <w:iCs/>
                <w:sz w:val="24"/>
                <w:szCs w:val="22"/>
              </w:rPr>
            </w:r>
            <w:r>
              <w:rPr>
                <w:iCs/>
                <w:sz w:val="24"/>
                <w:szCs w:val="22"/>
              </w:rPr>
            </w:r>
            <w:r>
              <w:rPr>
                <w:iCs/>
                <w:sz w:val="24"/>
                <w:szCs w:val="22"/>
              </w:rPr>
            </w:r>
          </w:p>
          <w:p>
            <w:pPr>
              <w:rPr>
                <w:iCs/>
                <w:sz w:val="24"/>
                <w:szCs w:val="22"/>
              </w:rPr>
            </w:pPr>
            <w:r>
              <w:rPr>
                <w:iCs/>
                <w:sz w:val="24"/>
                <w:szCs w:val="22"/>
              </w:rPr>
            </w:r>
            <w:r>
              <w:rPr>
                <w:iCs/>
                <w:sz w:val="24"/>
                <w:szCs w:val="22"/>
              </w:rPr>
            </w:r>
            <w:r>
              <w:rPr>
                <w:iCs/>
                <w:sz w:val="24"/>
                <w:szCs w:val="22"/>
              </w:rPr>
            </w:r>
          </w:p>
          <w:p>
            <w:pPr>
              <w:rPr>
                <w:iCs/>
                <w:sz w:val="24"/>
                <w:szCs w:val="22"/>
              </w:rPr>
            </w:pPr>
            <w:r>
              <w:rPr>
                <w:iCs/>
                <w:sz w:val="24"/>
                <w:szCs w:val="22"/>
              </w:rPr>
            </w:r>
            <w:r>
              <w:rPr>
                <w:iCs/>
                <w:sz w:val="24"/>
                <w:szCs w:val="22"/>
              </w:rPr>
            </w:r>
            <w:r>
              <w:rPr>
                <w:iCs/>
                <w:sz w:val="24"/>
                <w:szCs w:val="22"/>
              </w:rPr>
            </w:r>
          </w:p>
          <w:p>
            <w:pPr>
              <w:rPr>
                <w:iCs/>
                <w:sz w:val="24"/>
                <w:szCs w:val="22"/>
              </w:rPr>
            </w:pPr>
            <w:r>
              <w:rPr>
                <w:iCs/>
                <w:sz w:val="24"/>
                <w:szCs w:val="22"/>
              </w:rPr>
            </w:r>
            <w:r>
              <w:rPr>
                <w:iCs/>
                <w:sz w:val="24"/>
                <w:szCs w:val="22"/>
              </w:rPr>
            </w:r>
            <w:r>
              <w:rPr>
                <w:iCs/>
                <w:sz w:val="24"/>
                <w:szCs w:val="22"/>
              </w:rPr>
            </w:r>
          </w:p>
        </w:tc>
        <w:tc>
          <w:tcPr>
            <w:tcW w:w="411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  <w:szCs w:val="24"/>
              </w:rPr>
              <w:t xml:space="preserve">Оборудование химводоочистки</w:t>
            </w:r>
            <w:r>
              <w:rPr>
                <w:sz w:val="24"/>
                <w:szCs w:val="24"/>
              </w:rPr>
              <w:t xml:space="preserve"> инвентарный номер </w:t>
            </w:r>
            <w:r>
              <w:rPr>
                <w:sz w:val="24"/>
                <w:szCs w:val="24"/>
                <w:highlight w:val="none"/>
              </w:rPr>
              <w:t xml:space="preserve">00000000000000011812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840"/>
        </w:trPr>
        <w:tc>
          <w:tcPr>
            <w:tcW w:w="849" w:type="dxa"/>
            <w:vMerge w:val="restart"/>
            <w:textDirection w:val="lrTb"/>
            <w:noWrap w:val="false"/>
          </w:tcPr>
          <w:p>
            <w:pPr>
              <w:pStyle w:val="1323"/>
              <w:numPr>
                <w:ilvl w:val="0"/>
                <w:numId w:val="74"/>
              </w:num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W w:w="28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bCs w:val="0"/>
                <w:i w:val="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  <w:t xml:space="preserve">Н-катионитовый фильтр 2 ступени №2 </w:t>
            </w:r>
            <w:r>
              <w:rPr>
                <w:rFonts w:eastAsia="Calibri"/>
                <w:sz w:val="24"/>
                <w:szCs w:val="24"/>
              </w:rPr>
              <w:t xml:space="preserve">ХЦ</w:t>
            </w:r>
            <w:r>
              <w:rPr>
                <w:rFonts w:eastAsia="Calibri"/>
                <w:bCs w:val="0"/>
                <w:i w:val="0"/>
                <w:sz w:val="24"/>
                <w:szCs w:val="24"/>
              </w:rPr>
            </w:r>
            <w:r>
              <w:rPr>
                <w:rFonts w:eastAsia="Calibri"/>
                <w:bCs w:val="0"/>
                <w:i w:val="0"/>
                <w:sz w:val="24"/>
                <w:szCs w:val="24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eastAsia="Calibri"/>
                <w:sz w:val="24"/>
                <w:szCs w:val="24"/>
                <w:highlight w:val="none"/>
              </w:rPr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Хабаровской ТЭЦ-1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W w:w="1984" w:type="dxa"/>
            <w:vMerge w:val="continue"/>
            <w:textDirection w:val="lrTb"/>
            <w:noWrap w:val="false"/>
          </w:tcPr>
          <w:p>
            <w:pPr>
              <w:rPr>
                <w:iCs/>
                <w:sz w:val="24"/>
                <w:szCs w:val="22"/>
              </w:rPr>
            </w:pPr>
            <w:r>
              <w:rPr>
                <w:iCs/>
                <w:sz w:val="24"/>
                <w:szCs w:val="22"/>
              </w:rPr>
            </w:r>
            <w:r>
              <w:rPr>
                <w:iCs/>
                <w:sz w:val="24"/>
                <w:szCs w:val="22"/>
              </w:rPr>
            </w:r>
            <w:r>
              <w:rPr>
                <w:iCs/>
                <w:sz w:val="24"/>
                <w:szCs w:val="22"/>
              </w:rPr>
            </w:r>
          </w:p>
        </w:tc>
        <w:tc>
          <w:tcPr>
            <w:tcW w:w="41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32"/>
        </w:trPr>
        <w:tc>
          <w:tcPr>
            <w:tcW w:w="849" w:type="dxa"/>
            <w:vMerge w:val="restart"/>
            <w:textDirection w:val="lrTb"/>
            <w:noWrap w:val="false"/>
          </w:tcPr>
          <w:p>
            <w:pPr>
              <w:pStyle w:val="1323"/>
              <w:numPr>
                <w:ilvl w:val="0"/>
                <w:numId w:val="74"/>
              </w:num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W w:w="2836" w:type="dxa"/>
            <w:vMerge w:val="restart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  <w:t xml:space="preserve">Трансформатор связи №7 ТДЦН-125000/110 ЭЦ </w:t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Хабаровской ТЭЦ-1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11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Трансформатор ТДЦ 125000/110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  <w:t xml:space="preserve">инвентарный номер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00000000000000007410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891"/>
        </w:trPr>
        <w:tc>
          <w:tcPr>
            <w:tcW w:w="849" w:type="dxa"/>
            <w:vMerge w:val="restart"/>
            <w:textDirection w:val="lrTb"/>
            <w:noWrap w:val="false"/>
          </w:tcPr>
          <w:p>
            <w:pPr>
              <w:pStyle w:val="1323"/>
              <w:numPr>
                <w:ilvl w:val="0"/>
                <w:numId w:val="74"/>
              </w:num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W w:w="28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  <w:t xml:space="preserve">Кабельные трассы ЭЦ </w:t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Хабаровской ТЭЦ-1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11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Система регистрации аварийных событий  ХТЭЦ-1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  <w:t xml:space="preserve">инвентарный номер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00000000000000015414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891"/>
        </w:trPr>
        <w:tc>
          <w:tcPr>
            <w:tcW w:w="849" w:type="dxa"/>
            <w:vMerge w:val="restart"/>
            <w:textDirection w:val="lrTb"/>
            <w:noWrap w:val="false"/>
          </w:tcPr>
          <w:p>
            <w:pPr>
              <w:pStyle w:val="1323"/>
              <w:numPr>
                <w:ilvl w:val="0"/>
                <w:numId w:val="74"/>
              </w:num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W w:w="28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  <w:t xml:space="preserve">Кабельные трассы ТТЦ </w:t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Хабаровской ТЭЦ-1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11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Электроснабжение топливоподачи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  <w:t xml:space="preserve">инвентарный номер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00000000000000007333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840"/>
        </w:trPr>
        <w:tc>
          <w:tcPr>
            <w:tcW w:w="849" w:type="dxa"/>
            <w:vMerge w:val="restart"/>
            <w:textDirection w:val="lrTb"/>
            <w:noWrap w:val="false"/>
          </w:tcPr>
          <w:p>
            <w:pPr>
              <w:pStyle w:val="1323"/>
              <w:numPr>
                <w:ilvl w:val="0"/>
                <w:numId w:val="74"/>
              </w:num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W w:w="28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  <w:highlight w:val="none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  <w:t xml:space="preserve">Газопровод в ячейке котлоагрегата №15</w:t>
            </w:r>
            <w:r>
              <w:rPr>
                <w:rFonts w:eastAsia="Calibri"/>
                <w:sz w:val="24"/>
                <w:szCs w:val="24"/>
              </w:rPr>
              <w:t xml:space="preserve"> КЦ</w:t>
            </w:r>
            <w:r>
              <w:rPr>
                <w:rFonts w:eastAsia="Calibri"/>
                <w:sz w:val="24"/>
                <w:szCs w:val="24"/>
                <w:highlight w:val="none"/>
              </w:rPr>
            </w:r>
            <w:r>
              <w:rPr>
                <w:rFonts w:eastAsia="Calibri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highlight w:val="none"/>
              </w:rPr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Хабаровской ТЭЦ-1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11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Котлоагрегат БКЗ-210-140-7 ст.№ 15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  <w:t xml:space="preserve">инвентарный номер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00000000000000011629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124"/>
        </w:trPr>
        <w:tc>
          <w:tcPr>
            <w:tcW w:w="849" w:type="dxa"/>
            <w:vMerge w:val="restart"/>
            <w:textDirection w:val="lrTb"/>
            <w:noWrap w:val="false"/>
          </w:tcPr>
          <w:p>
            <w:pPr>
              <w:pStyle w:val="1323"/>
              <w:numPr>
                <w:ilvl w:val="0"/>
                <w:numId w:val="74"/>
              </w:num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W w:w="28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  <w:t xml:space="preserve">Наружный газопровод высокого давления от ограждения Хабаровской ТЭЦ-1 до ГРП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11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Наружные сети высокого и среднего давления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  <w:t xml:space="preserve">инвентарный номер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00000000000000014284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69"/>
        </w:trPr>
        <w:tc>
          <w:tcPr>
            <w:tcW w:w="849" w:type="dxa"/>
            <w:vMerge w:val="restart"/>
            <w:textDirection w:val="lrTb"/>
            <w:noWrap w:val="false"/>
          </w:tcPr>
          <w:p>
            <w:pPr>
              <w:pStyle w:val="1323"/>
              <w:numPr>
                <w:ilvl w:val="0"/>
                <w:numId w:val="74"/>
              </w:num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W w:w="28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  <w:highlight w:val="none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  <w:t xml:space="preserve">Внутренний газопровод котлоагрегата №8 </w:t>
            </w:r>
            <w:r>
              <w:rPr>
                <w:rFonts w:eastAsia="Calibri"/>
                <w:sz w:val="24"/>
                <w:szCs w:val="24"/>
              </w:rPr>
              <w:t xml:space="preserve">КЦ</w:t>
            </w:r>
            <w:r>
              <w:rPr>
                <w:rFonts w:eastAsia="Calibri"/>
                <w:sz w:val="24"/>
                <w:szCs w:val="24"/>
                <w:highlight w:val="none"/>
              </w:rPr>
            </w:r>
            <w:r>
              <w:rPr>
                <w:rFonts w:eastAsia="Calibri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highlight w:val="none"/>
              </w:rPr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Хабаровской ТЭЦ-1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11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Котлоагрегат БКЗ-220-100-Ф ст.№ 8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  <w:t xml:space="preserve">инвентарный номер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00000000000000011335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69"/>
        </w:trPr>
        <w:tc>
          <w:tcPr>
            <w:tcW w:w="849" w:type="dxa"/>
            <w:vMerge w:val="restart"/>
            <w:textDirection w:val="lrTb"/>
            <w:noWrap w:val="false"/>
          </w:tcPr>
          <w:p>
            <w:pPr>
              <w:pStyle w:val="1323"/>
              <w:numPr>
                <w:ilvl w:val="0"/>
                <w:numId w:val="74"/>
              </w:num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W w:w="28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  <w:highlight w:val="none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  <w:t xml:space="preserve">Внутренний газопровод котлоагрегата №9 </w:t>
            </w:r>
            <w:r>
              <w:rPr>
                <w:rFonts w:eastAsia="Calibri"/>
                <w:sz w:val="24"/>
                <w:szCs w:val="24"/>
              </w:rPr>
              <w:t xml:space="preserve">КЦ</w:t>
            </w:r>
            <w:r>
              <w:rPr>
                <w:rFonts w:eastAsia="Calibri"/>
                <w:sz w:val="24"/>
                <w:szCs w:val="24"/>
                <w:highlight w:val="none"/>
              </w:rPr>
            </w:r>
            <w:r>
              <w:rPr>
                <w:rFonts w:eastAsia="Calibri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highlight w:val="none"/>
              </w:rPr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Хабаровской ТЭЦ-1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11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Котлоагрегат БКЗ-210-140-9 ст.№ 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  <w:t xml:space="preserve">инвентарный номер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00000000000000012714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99"/>
        </w:trPr>
        <w:tc>
          <w:tcPr>
            <w:tcW w:w="849" w:type="dxa"/>
            <w:vMerge w:val="restart"/>
            <w:textDirection w:val="lrTb"/>
            <w:noWrap w:val="false"/>
          </w:tcPr>
          <w:p>
            <w:pPr>
              <w:pStyle w:val="1323"/>
              <w:numPr>
                <w:ilvl w:val="0"/>
                <w:numId w:val="74"/>
              </w:num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W w:w="28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  <w:highlight w:val="none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  <w:t xml:space="preserve">Внутренний газопровод котлоагрегата №10 </w:t>
            </w:r>
            <w:r>
              <w:rPr>
                <w:rFonts w:eastAsia="Calibri"/>
                <w:sz w:val="24"/>
                <w:szCs w:val="24"/>
              </w:rPr>
              <w:t xml:space="preserve">КЦ</w:t>
            </w:r>
            <w:r>
              <w:rPr>
                <w:rFonts w:eastAsia="Calibri"/>
                <w:sz w:val="24"/>
                <w:szCs w:val="24"/>
                <w:highlight w:val="none"/>
              </w:rPr>
            </w:r>
            <w:r>
              <w:rPr>
                <w:rFonts w:eastAsia="Calibri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highlight w:val="none"/>
              </w:rPr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Хабаровской ТЭЦ-1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11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Котлоагрегат БКЗ-210-140-Ф ст.№ 10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  <w:t xml:space="preserve">инвентарный номер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00000000000000011416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99"/>
        </w:trPr>
        <w:tc>
          <w:tcPr>
            <w:tcW w:w="849" w:type="dxa"/>
            <w:vMerge w:val="restart"/>
            <w:textDirection w:val="lrTb"/>
            <w:noWrap w:val="false"/>
          </w:tcPr>
          <w:p>
            <w:pPr>
              <w:pStyle w:val="1323"/>
              <w:numPr>
                <w:ilvl w:val="0"/>
                <w:numId w:val="74"/>
              </w:num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W w:w="28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  <w:highlight w:val="none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  <w:t xml:space="preserve">Внутренний газопровод котлоагрегата №11 </w:t>
            </w:r>
            <w:r>
              <w:rPr>
                <w:rFonts w:eastAsia="Calibri"/>
                <w:sz w:val="24"/>
                <w:szCs w:val="24"/>
              </w:rPr>
              <w:t xml:space="preserve">КЦ</w:t>
            </w:r>
            <w:r>
              <w:rPr>
                <w:rFonts w:eastAsia="Calibri"/>
                <w:sz w:val="24"/>
                <w:szCs w:val="24"/>
                <w:highlight w:val="none"/>
              </w:rPr>
            </w:r>
            <w:r>
              <w:rPr>
                <w:rFonts w:eastAsia="Calibri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highlight w:val="none"/>
              </w:rPr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Хабаровской ТЭЦ-1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11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Котлоагрегат БКЗ-210-140-Ф ст.№ 11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  <w:t xml:space="preserve">инвентарный номер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00000000000000011625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99"/>
        </w:trPr>
        <w:tc>
          <w:tcPr>
            <w:tcW w:w="849" w:type="dxa"/>
            <w:vMerge w:val="restart"/>
            <w:textDirection w:val="lrTb"/>
            <w:noWrap w:val="false"/>
          </w:tcPr>
          <w:p>
            <w:pPr>
              <w:pStyle w:val="1323"/>
              <w:numPr>
                <w:ilvl w:val="0"/>
                <w:numId w:val="74"/>
              </w:num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W w:w="28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  <w:highlight w:val="none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  <w:t xml:space="preserve">Внутренний газопровод котлоагрегата №12 </w:t>
            </w:r>
            <w:r>
              <w:rPr>
                <w:rFonts w:eastAsia="Calibri"/>
                <w:sz w:val="24"/>
                <w:szCs w:val="24"/>
              </w:rPr>
              <w:t xml:space="preserve">КЦ</w:t>
            </w:r>
            <w:r>
              <w:rPr>
                <w:rFonts w:eastAsia="Calibri"/>
                <w:sz w:val="24"/>
                <w:szCs w:val="24"/>
                <w:highlight w:val="none"/>
              </w:rPr>
            </w:r>
            <w:r>
              <w:rPr>
                <w:rFonts w:eastAsia="Calibri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highlight w:val="none"/>
              </w:rPr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Хабаровской ТЭЦ-1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11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Котлоагрегат БКЗ-210-140-Ф ст.№ 12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  <w:t xml:space="preserve">инвентарный номер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00000000000000011626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99"/>
        </w:trPr>
        <w:tc>
          <w:tcPr>
            <w:tcW w:w="849" w:type="dxa"/>
            <w:vMerge w:val="restart"/>
            <w:textDirection w:val="lrTb"/>
            <w:noWrap w:val="false"/>
          </w:tcPr>
          <w:p>
            <w:pPr>
              <w:pStyle w:val="1323"/>
              <w:numPr>
                <w:ilvl w:val="0"/>
                <w:numId w:val="74"/>
              </w:num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W w:w="28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  <w:highlight w:val="none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  <w:t xml:space="preserve">Внутренний газопровод котлоагрегата №13 </w:t>
            </w:r>
            <w:r>
              <w:rPr>
                <w:rFonts w:eastAsia="Calibri"/>
                <w:sz w:val="24"/>
                <w:szCs w:val="24"/>
              </w:rPr>
              <w:t xml:space="preserve">КЦ</w:t>
            </w:r>
            <w:r>
              <w:rPr>
                <w:rFonts w:eastAsia="Calibri"/>
                <w:sz w:val="24"/>
                <w:szCs w:val="24"/>
                <w:highlight w:val="none"/>
              </w:rPr>
            </w:r>
            <w:r>
              <w:rPr>
                <w:rFonts w:eastAsia="Calibri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highlight w:val="none"/>
              </w:rPr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Хабаровской ТЭЦ-1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11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Котлоагрегат БКЗ-210-140-Ф ст.№ 13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  <w:t xml:space="preserve">инвентарный номер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00000000000000011627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99"/>
        </w:trPr>
        <w:tc>
          <w:tcPr>
            <w:tcW w:w="849" w:type="dxa"/>
            <w:vMerge w:val="restart"/>
            <w:textDirection w:val="lrTb"/>
            <w:noWrap w:val="false"/>
          </w:tcPr>
          <w:p>
            <w:pPr>
              <w:pStyle w:val="1323"/>
              <w:numPr>
                <w:ilvl w:val="0"/>
                <w:numId w:val="74"/>
              </w:num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W w:w="28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  <w:highlight w:val="none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  <w:t xml:space="preserve">Внутренний газопровод котлоагрегата №14 </w:t>
            </w:r>
            <w:r>
              <w:rPr>
                <w:rFonts w:eastAsia="Calibri"/>
                <w:sz w:val="24"/>
                <w:szCs w:val="24"/>
              </w:rPr>
              <w:t xml:space="preserve">КЦ</w:t>
            </w:r>
            <w:r>
              <w:rPr>
                <w:rFonts w:eastAsia="Calibri"/>
                <w:sz w:val="24"/>
                <w:szCs w:val="24"/>
                <w:highlight w:val="none"/>
              </w:rPr>
            </w:r>
            <w:r>
              <w:rPr>
                <w:rFonts w:eastAsia="Calibri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highlight w:val="none"/>
              </w:rPr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Хабаровской ТЭЦ-1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11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Котлоагрегат БКЗ-210-140-1 ст.№ 14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  <w:t xml:space="preserve">инвентарный номер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00000000000000011628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99"/>
        </w:trPr>
        <w:tc>
          <w:tcPr>
            <w:tcW w:w="849" w:type="dxa"/>
            <w:vMerge w:val="restart"/>
            <w:textDirection w:val="lrTb"/>
            <w:noWrap w:val="false"/>
          </w:tcPr>
          <w:p>
            <w:pPr>
              <w:pStyle w:val="1323"/>
              <w:numPr>
                <w:ilvl w:val="0"/>
                <w:numId w:val="74"/>
              </w:num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W w:w="28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  <w:highlight w:val="none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  <w:t xml:space="preserve">Внутренний газопровод котлоагрегата №16 </w:t>
            </w:r>
            <w:r>
              <w:rPr>
                <w:rFonts w:eastAsia="Calibri"/>
                <w:sz w:val="24"/>
                <w:szCs w:val="24"/>
              </w:rPr>
              <w:t xml:space="preserve">КЦ</w:t>
            </w:r>
            <w:r>
              <w:rPr>
                <w:rFonts w:eastAsia="Calibri"/>
                <w:sz w:val="24"/>
                <w:szCs w:val="24"/>
                <w:highlight w:val="none"/>
              </w:rPr>
            </w:r>
            <w:r>
              <w:rPr>
                <w:rFonts w:eastAsia="Calibri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highlight w:val="none"/>
              </w:rPr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Хабаровской ТЭЦ-1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ffffff" w:fill="ffffff"/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11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Котлоагрегат БКЗ-210-140-7 ст.№ 16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  <w:t xml:space="preserve">инвентарный номер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00000000000000011722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127"/>
        <w:ind w:left="0" w:firstLine="0"/>
        <w:rPr>
          <w:highlight w:val="none"/>
        </w:rPr>
      </w:pPr>
      <w:r>
        <w:rPr>
          <w:highlight w:val="none"/>
        </w:rPr>
      </w:r>
      <w:bookmarkStart w:id="10" w:name="_Toc46743509"/>
      <w:r>
        <w:rPr>
          <w:highlight w:val="none"/>
        </w:rPr>
      </w:r>
      <w:bookmarkStart w:id="11" w:name="_Hlk49857604"/>
      <w:r>
        <w:rPr>
          <w:highlight w:val="none"/>
        </w:rPr>
      </w:r>
      <w:bookmarkStart w:id="12" w:name="_Toc54646401"/>
      <w:r>
        <w:rPr>
          <w:highlight w:val="none"/>
        </w:rPr>
        <w:t xml:space="preserve">Информация в отношении исполнения договора, </w:t>
      </w:r>
      <w:bookmarkStart w:id="13" w:name="_Hlk46492347"/>
      <w:r>
        <w:rPr>
          <w:highlight w:val="none"/>
        </w:rPr>
        <w:t xml:space="preserve">которая должна быть учтена при подготовке заявки </w:t>
      </w:r>
      <w:bookmarkEnd w:id="13"/>
      <w:r>
        <w:rPr>
          <w:highlight w:val="none"/>
        </w:rPr>
        <w:t xml:space="preserve">(в том числе перечень ресурсов, услуг и документов, предоставляемых заказчиком на этапе исполнения договора)</w:t>
      </w:r>
      <w:bookmarkEnd w:id="10"/>
      <w:r>
        <w:rPr>
          <w:highlight w:val="none"/>
        </w:rPr>
      </w:r>
      <w:bookmarkEnd w:id="11"/>
      <w:r>
        <w:rPr>
          <w:highlight w:val="none"/>
        </w:rPr>
      </w:r>
      <w:bookmarkEnd w:id="12"/>
      <w:r>
        <w:rPr>
          <w:highlight w:val="none"/>
        </w:rPr>
      </w:r>
      <w:r>
        <w:rPr>
          <w:highlight w:val="none"/>
        </w:rPr>
      </w:r>
    </w:p>
    <w:p>
      <w:pPr>
        <w:pStyle w:val="1127"/>
        <w:numPr>
          <w:ilvl w:val="0"/>
          <w:numId w:val="0"/>
        </w:numPr>
        <w:ind w:left="0" w:right="0" w:firstLine="709"/>
        <w:jc w:val="both"/>
        <w:rPr>
          <w:b w:val="0"/>
          <w:highlight w:val="none"/>
        </w:rPr>
      </w:pPr>
      <w:r>
        <w:rPr>
          <w:b w:val="0"/>
          <w:highlight w:val="none"/>
        </w:rPr>
        <w:t xml:space="preserve">При наличии технической возможности у Заказчика, Заказчик может обеспечить Подрядчику возможность подключения к имеющимся бытовым источникам электроснабжения, водоснабжения, канализации для целей выполнения Работ по Договору.</w:t>
      </w:r>
      <w:r>
        <w:rPr>
          <w:b w:val="0"/>
          <w:highlight w:val="none"/>
        </w:rPr>
      </w:r>
      <w:r>
        <w:rPr>
          <w:b w:val="0"/>
          <w:highlight w:val="none"/>
        </w:rPr>
      </w:r>
    </w:p>
    <w:p>
      <w:pPr>
        <w:pStyle w:val="1124"/>
        <w:ind w:left="357" w:hanging="357"/>
        <w:jc w:val="center"/>
        <w:keepLines/>
        <w:rPr>
          <w:iCs/>
          <w:caps/>
          <w:sz w:val="24"/>
          <w:szCs w:val="24"/>
          <w:highlight w:val="none"/>
        </w:rPr>
      </w:pPr>
      <w:r>
        <w:rPr>
          <w:iCs/>
          <w:sz w:val="24"/>
          <w:szCs w:val="24"/>
          <w:highlight w:val="none"/>
        </w:rPr>
        <w:t xml:space="preserve">Требования к продукции</w:t>
      </w:r>
      <w:r>
        <w:rPr>
          <w:iCs/>
          <w:caps/>
          <w:sz w:val="24"/>
          <w:szCs w:val="24"/>
          <w:highlight w:val="none"/>
        </w:rPr>
      </w:r>
      <w:r>
        <w:rPr>
          <w:iCs/>
          <w:caps/>
          <w:sz w:val="24"/>
          <w:szCs w:val="24"/>
          <w:highlight w:val="none"/>
        </w:rPr>
      </w:r>
    </w:p>
    <w:p>
      <w:pPr>
        <w:pStyle w:val="1127"/>
        <w:rPr>
          <w:highlight w:val="none"/>
        </w:rPr>
      </w:pPr>
      <w:r>
        <w:rPr>
          <w:highlight w:val="none"/>
        </w:rPr>
      </w:r>
      <w:bookmarkStart w:id="14" w:name="_Toc54646404"/>
      <w:r>
        <w:rPr>
          <w:highlight w:val="none"/>
        </w:rPr>
        <w:t xml:space="preserve">Требования к объемам и срокам выполнения работ</w:t>
      </w:r>
      <w:bookmarkEnd w:id="14"/>
      <w:r>
        <w:rPr>
          <w:highlight w:val="none"/>
        </w:rPr>
      </w:r>
      <w:r>
        <w:rPr>
          <w:highlight w:val="none"/>
        </w:rPr>
      </w:r>
    </w:p>
    <w:p>
      <w:pPr>
        <w:pStyle w:val="1126"/>
        <w:rPr>
          <w:highlight w:val="none"/>
        </w:rPr>
      </w:pPr>
      <w:r>
        <w:rPr>
          <w:highlight w:val="none"/>
        </w:rPr>
      </w:r>
      <w:bookmarkStart w:id="15" w:name="_Toc54646405"/>
      <w:r>
        <w:rPr>
          <w:highlight w:val="none"/>
        </w:rPr>
        <w:t xml:space="preserve">Требования к видам и объемам работ</w:t>
      </w:r>
      <w:bookmarkEnd w:id="15"/>
      <w:r>
        <w:rPr>
          <w:highlight w:val="none"/>
        </w:rPr>
      </w:r>
      <w:r>
        <w:rPr>
          <w:highlight w:val="none"/>
        </w:rPr>
      </w:r>
    </w:p>
    <w:p>
      <w:pPr>
        <w:pStyle w:val="1124"/>
        <w:numPr>
          <w:ilvl w:val="0"/>
          <w:numId w:val="0"/>
        </w:numPr>
        <w:keepLines/>
        <w:spacing w:before="240"/>
        <w:rPr>
          <w:sz w:val="24"/>
          <w:szCs w:val="24"/>
          <w:highlight w:val="none"/>
        </w:rPr>
      </w:pPr>
      <w:r>
        <w:rPr>
          <w:highlight w:val="none"/>
        </w:rPr>
      </w:r>
      <w:bookmarkStart w:id="16" w:name="_Toc51339695"/>
      <w:r>
        <w:rPr>
          <w:highlight w:val="none"/>
        </w:rPr>
      </w:r>
      <w:bookmarkStart w:id="17" w:name="_Toc54646406"/>
      <w:r>
        <w:rPr>
          <w:sz w:val="24"/>
          <w:szCs w:val="24"/>
          <w:highlight w:val="none"/>
        </w:rPr>
        <w:t xml:space="preserve">Таблица 2. Перечень </w:t>
      </w:r>
      <w:bookmarkEnd w:id="16"/>
      <w:r>
        <w:rPr>
          <w:sz w:val="24"/>
          <w:szCs w:val="24"/>
          <w:highlight w:val="none"/>
        </w:rPr>
        <w:t xml:space="preserve">и объем выполняемых работ</w:t>
      </w:r>
      <w:bookmarkEnd w:id="17"/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W w:w="98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244"/>
        <w:gridCol w:w="1873"/>
        <w:gridCol w:w="2126"/>
      </w:tblGrid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№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keepNext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п</w:t>
            </w:r>
            <w:r>
              <w:rPr>
                <w:sz w:val="24"/>
                <w:szCs w:val="24"/>
                <w:highlight w:val="none"/>
              </w:rPr>
              <w:t xml:space="preserve">/п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5244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Наименование работ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187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Единица измерения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Количество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1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tcW w:w="5244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2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tcW w:w="187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3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4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1323"/>
              <w:numPr>
                <w:ilvl w:val="0"/>
                <w:numId w:val="4"/>
              </w:num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5244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rFonts w:eastAsia="Calibri"/>
                <w:sz w:val="24"/>
                <w:szCs w:val="24"/>
                <w:highlight w:val="none"/>
              </w:rPr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Ремонт АКЗ</w:t>
            </w:r>
            <w:r>
              <w:rPr>
                <w:rFonts w:eastAsia="Calibri"/>
                <w:sz w:val="24"/>
                <w:szCs w:val="24"/>
                <w:highlight w:val="none"/>
                <w:lang w:eastAsia="en-US"/>
              </w:rPr>
              <w:t xml:space="preserve"> оборудования</w:t>
            </w:r>
            <w:r>
              <w:rPr>
                <w:rFonts w:eastAsia="Calibri"/>
                <w:sz w:val="24"/>
                <w:szCs w:val="24"/>
                <w:highlight w:val="none"/>
                <w:lang w:eastAsia="en-US"/>
              </w:rPr>
              <w:t xml:space="preserve"> Хабаровской ТЭЦ-1</w:t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 </w:t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(</w:t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в составе работ в соответствии с ведомостью объёмов работ (Приложение №2 к ТТ)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399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  <w:t xml:space="preserve">В соответствии с ведомостью объемов работ (Приложение №2 к ТТ)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pStyle w:val="1126"/>
        <w:numPr>
          <w:ilvl w:val="0"/>
          <w:numId w:val="0"/>
        </w:numPr>
        <w:ind w:left="1224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126"/>
        <w:rPr>
          <w:highlight w:val="none"/>
        </w:rPr>
      </w:pPr>
      <w:r>
        <w:rPr>
          <w:highlight w:val="none"/>
        </w:rPr>
        <w:t xml:space="preserve">Требования </w:t>
      </w:r>
      <w:r>
        <w:rPr>
          <w:highlight w:val="none"/>
        </w:rPr>
        <w:t xml:space="preserve">к срокам выполнения работ</w:t>
      </w:r>
      <w:r>
        <w:rPr>
          <w:highlight w:val="none"/>
        </w:rPr>
      </w:r>
      <w:r>
        <w:rPr>
          <w:highlight w:val="none"/>
        </w:rPr>
      </w:r>
    </w:p>
    <w:p>
      <w:pPr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sz w:val="24"/>
          <w:szCs w:val="24"/>
          <w:highlight w:val="none"/>
        </w:rPr>
        <w:t xml:space="preserve">Таблица 3. </w:t>
      </w:r>
      <w:r>
        <w:rPr>
          <w:b/>
          <w:bCs/>
          <w:sz w:val="24"/>
          <w:szCs w:val="24"/>
          <w:highlight w:val="none"/>
        </w:rPr>
        <w:t xml:space="preserve">Требования по срокам </w:t>
      </w:r>
      <w:r>
        <w:rPr>
          <w:b/>
          <w:bCs/>
          <w:sz w:val="24"/>
          <w:szCs w:val="24"/>
          <w:highlight w:val="none"/>
        </w:rPr>
        <w:t xml:space="preserve">выполнения работ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tbl>
      <w:tblPr>
        <w:tblW w:w="9781" w:type="dxa"/>
        <w:tblInd w:w="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4819"/>
        <w:gridCol w:w="2126"/>
        <w:gridCol w:w="2157"/>
      </w:tblGrid>
      <w:tr>
        <w:tblPrEx/>
        <w:trPr/>
        <w:tc>
          <w:tcPr>
            <w:shd w:val="clear" w:color="ffffff" w:fill="ffffff"/>
            <w:tcW w:w="679" w:type="dxa"/>
            <w:vAlign w:val="center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№ п/п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W w:w="4819" w:type="dxa"/>
            <w:vAlign w:val="center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Наименование работ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Требования к началу срока выполнения работ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2157" w:type="dxa"/>
            <w:vAlign w:val="center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Требования к окончанию срока выполнения работ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shd w:val="clear" w:color="ffffff" w:fill="ffffff"/>
            <w:tcW w:w="679" w:type="dxa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1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W w:w="4819" w:type="dxa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2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325"/>
              <w:jc w:val="center"/>
              <w:keepNext w:val="0"/>
              <w:rPr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3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2157" w:type="dxa"/>
            <w:textDirection w:val="lrTb"/>
            <w:noWrap w:val="false"/>
          </w:tcPr>
          <w:p>
            <w:pPr>
              <w:pStyle w:val="1325"/>
              <w:jc w:val="center"/>
              <w:keepNext w:val="0"/>
              <w:rPr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4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shd w:val="clear" w:color="ffffff" w:fill="ffffff"/>
            <w:tcW w:w="679" w:type="dxa"/>
            <w:textDirection w:val="lrTb"/>
            <w:noWrap w:val="false"/>
          </w:tcPr>
          <w:p>
            <w:pPr>
              <w:pStyle w:val="1323"/>
              <w:numPr>
                <w:ilvl w:val="0"/>
                <w:numId w:val="75"/>
              </w:num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W w:w="481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rFonts w:eastAsia="Calibri"/>
                <w:sz w:val="24"/>
                <w:szCs w:val="24"/>
                <w:highlight w:val="none"/>
              </w:rPr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Ремонт АКЗ</w:t>
            </w:r>
            <w:r>
              <w:rPr>
                <w:rFonts w:eastAsia="Calibri"/>
                <w:sz w:val="24"/>
                <w:szCs w:val="24"/>
                <w:highlight w:val="none"/>
                <w:lang w:eastAsia="en-US"/>
              </w:rPr>
              <w:t xml:space="preserve"> оборудования</w:t>
            </w:r>
            <w:r>
              <w:rPr>
                <w:rFonts w:eastAsia="Calibri"/>
                <w:sz w:val="24"/>
                <w:szCs w:val="24"/>
                <w:highlight w:val="none"/>
                <w:lang w:eastAsia="en-US"/>
              </w:rPr>
              <w:t xml:space="preserve"> Хабаровской ТЭЦ-1</w:t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 </w:t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(</w:t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в составе работ в соответствии с ведомостью объёмов работ (Приложение №2 к ТТ)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rFonts w:eastAsia="Calibri"/>
                <w:highlight w:val="none"/>
              </w:rPr>
            </w:pPr>
            <w:r>
              <w:rPr>
                <w:rFonts w:eastAsia="Calibri"/>
                <w:bCs/>
                <w:sz w:val="24"/>
                <w:szCs w:val="24"/>
                <w:highlight w:val="none"/>
              </w:rPr>
              <w:t xml:space="preserve">с 04.05.2026</w:t>
            </w:r>
            <w:r>
              <w:rPr>
                <w:rFonts w:eastAsia="Calibri"/>
                <w:highlight w:val="none"/>
              </w:rPr>
            </w:r>
            <w:r>
              <w:rPr>
                <w:rFonts w:eastAsia="Calibri"/>
                <w:highlight w:val="none"/>
              </w:rPr>
            </w:r>
          </w:p>
        </w:tc>
        <w:tc>
          <w:tcPr>
            <w:tcW w:w="2157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до 31.10.2026*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pStyle w:val="1124"/>
        <w:numPr>
          <w:ilvl w:val="0"/>
          <w:numId w:val="0"/>
        </w:numPr>
        <w:keepLines/>
        <w:spacing w:before="240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highlight w:val="none"/>
        </w:rPr>
        <w:t xml:space="preserve"> </w:t>
      </w:r>
      <w:r>
        <w:rPr>
          <w:b w:val="0"/>
          <w:bCs w:val="0"/>
          <w:i/>
          <w:iCs/>
          <w:sz w:val="24"/>
          <w:szCs w:val="24"/>
        </w:rPr>
        <w:t xml:space="preserve">*старт закупки рассчитан с уче</w:t>
      </w:r>
      <w:r>
        <w:rPr>
          <w:b w:val="0"/>
          <w:bCs w:val="0"/>
          <w:i/>
          <w:iCs/>
          <w:sz w:val="24"/>
          <w:szCs w:val="24"/>
        </w:rPr>
        <w:t xml:space="preserve">том требований к окончанию срока выполнения работ согласно программы ремонтов, увеличение срока выполнения работ не допускается, так как указание конкретного срока окончания работ вызвано необходимостью полного завершения работ и сдачи объекта в эксплуатац</w:t>
      </w:r>
      <w:r>
        <w:rPr>
          <w:b w:val="0"/>
          <w:bCs w:val="0"/>
          <w:i/>
          <w:iCs/>
          <w:sz w:val="24"/>
          <w:szCs w:val="24"/>
        </w:rPr>
        <w:t xml:space="preserve">ию в указанный период</w:t>
      </w:r>
      <w:r>
        <w:rPr>
          <w:b w:val="0"/>
          <w:bCs w:val="0"/>
          <w:i/>
          <w:iCs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both"/>
        <w:spacing w:line="360" w:lineRule="auto"/>
        <w:rPr>
          <w:i/>
          <w:sz w:val="24"/>
          <w:szCs w:val="24"/>
          <w:highlight w:val="none"/>
        </w:rPr>
        <w:sectPr>
          <w:headerReference w:type="default" r:id="rId9"/>
          <w:headerReference w:type="first" r:id="rId10"/>
          <w:footerReference w:type="default" r:id="rId13"/>
          <w:footnotePr/>
          <w:endnotePr/>
          <w:type w:val="nextPage"/>
          <w:pgSz w:w="11906" w:h="16838" w:orient="portrait"/>
          <w:pgMar w:top="851" w:right="850" w:bottom="396" w:left="1276" w:header="426" w:footer="74" w:gutter="0"/>
          <w:cols w:num="1" w:sep="0" w:space="708" w:equalWidth="1"/>
          <w:docGrid w:linePitch="360"/>
        </w:sectPr>
      </w:pPr>
      <w:r>
        <w:rPr>
          <w:rFonts w:eastAsia="Calibri"/>
          <w:i/>
          <w:sz w:val="24"/>
          <w:szCs w:val="24"/>
          <w:highlight w:val="none"/>
        </w:rPr>
      </w:r>
      <w:r>
        <w:rPr>
          <w:i/>
          <w:sz w:val="24"/>
          <w:szCs w:val="24"/>
          <w:highlight w:val="none"/>
        </w:rPr>
      </w:r>
      <w:r>
        <w:rPr>
          <w:i/>
          <w:sz w:val="24"/>
          <w:szCs w:val="24"/>
          <w:highlight w:val="none"/>
        </w:rPr>
      </w:r>
    </w:p>
    <w:p>
      <w:pPr>
        <w:pStyle w:val="1127"/>
        <w:rPr>
          <w:highlight w:val="none"/>
        </w:rPr>
      </w:pPr>
      <w:r>
        <w:rPr>
          <w:highlight w:val="none"/>
        </w:rPr>
      </w:r>
      <w:bookmarkStart w:id="24" w:name="_Toc51339698"/>
      <w:r>
        <w:rPr>
          <w:highlight w:val="none"/>
        </w:rPr>
      </w:r>
      <w:bookmarkStart w:id="25" w:name="_Toc54646410"/>
      <w:r>
        <w:rPr>
          <w:highlight w:val="none"/>
        </w:rPr>
        <w:t xml:space="preserve">Требования к качеству работ</w:t>
      </w:r>
      <w:r>
        <w:rPr>
          <w:highlight w:val="none"/>
        </w:rPr>
      </w:r>
      <w:r>
        <w:rPr>
          <w:highlight w:val="none"/>
        </w:rPr>
      </w:r>
    </w:p>
    <w:p>
      <w:pPr>
        <w:pStyle w:val="1124"/>
        <w:numPr>
          <w:ilvl w:val="0"/>
          <w:numId w:val="0"/>
        </w:numPr>
        <w:keepLines/>
        <w:spacing w:before="24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Таблица 4. Требования к </w:t>
      </w:r>
      <w:bookmarkEnd w:id="24"/>
      <w:r>
        <w:rPr>
          <w:sz w:val="24"/>
          <w:szCs w:val="24"/>
          <w:highlight w:val="none"/>
        </w:rPr>
        <w:t xml:space="preserve">качеству работ</w:t>
      </w:r>
      <w:bookmarkEnd w:id="25"/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spacing w:after="120"/>
        <w:rPr>
          <w:rStyle w:val="1320"/>
          <w:b w:val="0"/>
          <w:iCs/>
          <w:sz w:val="24"/>
          <w:szCs w:val="24"/>
          <w:highlight w:val="none"/>
        </w:rPr>
      </w:pPr>
      <w:r>
        <w:rPr>
          <w:b w:val="0"/>
          <w:iCs/>
          <w:sz w:val="24"/>
          <w:szCs w:val="24"/>
          <w:highlight w:val="none"/>
        </w:rPr>
      </w:r>
      <w:r>
        <w:rPr>
          <w:rStyle w:val="1320"/>
          <w:b w:val="0"/>
          <w:iCs/>
          <w:sz w:val="24"/>
          <w:szCs w:val="24"/>
          <w:highlight w:val="none"/>
        </w:rPr>
      </w:r>
      <w:r>
        <w:rPr>
          <w:rStyle w:val="1320"/>
          <w:b w:val="0"/>
          <w:iCs/>
          <w:sz w:val="24"/>
          <w:szCs w:val="24"/>
          <w:highlight w:val="none"/>
        </w:rPr>
      </w:r>
    </w:p>
    <w:tbl>
      <w:tblPr>
        <w:tblStyle w:val="1326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8"/>
        <w:gridCol w:w="1531"/>
        <w:gridCol w:w="175"/>
        <w:gridCol w:w="7195"/>
        <w:gridCol w:w="992"/>
        <w:gridCol w:w="1873"/>
        <w:gridCol w:w="2410"/>
      </w:tblGrid>
      <w:tr>
        <w:tblPrEx/>
        <w:trPr/>
        <w:tc>
          <w:tcPr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  <w:highlight w:val="none"/>
              </w:rPr>
            </w:pPr>
            <w:r>
              <w:rPr>
                <w:b/>
                <w:bCs/>
                <w:sz w:val="22"/>
                <w:szCs w:val="22"/>
                <w:highlight w:val="none"/>
              </w:rPr>
              <w:t xml:space="preserve">№ </w:t>
            </w:r>
            <w:r>
              <w:rPr>
                <w:b/>
                <w:bCs/>
                <w:sz w:val="22"/>
                <w:szCs w:val="22"/>
                <w:highlight w:val="none"/>
              </w:rPr>
              <w:t xml:space="preserve">п</w:t>
            </w:r>
            <w:r>
              <w:rPr>
                <w:b/>
                <w:bCs/>
                <w:sz w:val="22"/>
                <w:szCs w:val="22"/>
                <w:highlight w:val="none"/>
              </w:rPr>
              <w:t xml:space="preserve">/п</w:t>
            </w: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170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  <w:highlight w:val="none"/>
              </w:rPr>
            </w:pPr>
            <w:r>
              <w:rPr>
                <w:b/>
                <w:bCs/>
                <w:sz w:val="22"/>
                <w:szCs w:val="22"/>
                <w:highlight w:val="none"/>
              </w:rPr>
              <w:t xml:space="preserve">Наименование параметра</w:t>
            </w: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818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  <w:highlight w:val="none"/>
              </w:rPr>
            </w:pPr>
            <w:r>
              <w:rPr>
                <w:b/>
                <w:bCs/>
                <w:sz w:val="22"/>
                <w:szCs w:val="22"/>
                <w:highlight w:val="none"/>
              </w:rPr>
              <w:t xml:space="preserve">Требование заказчика</w:t>
            </w: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428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  <w:highlight w:val="none"/>
              </w:rPr>
            </w:pPr>
            <w:r>
              <w:rPr>
                <w:b/>
                <w:bCs/>
                <w:sz w:val="22"/>
                <w:szCs w:val="22"/>
                <w:highlight w:val="none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W w:w="708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1706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8187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  <w:highlight w:val="none"/>
              </w:rPr>
            </w:pPr>
            <w:r>
              <w:rPr>
                <w:b/>
                <w:bCs/>
                <w:sz w:val="22"/>
                <w:szCs w:val="22"/>
                <w:highlight w:val="none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  <w:highlight w:val="none"/>
              </w:rPr>
            </w:pPr>
            <w:r>
              <w:rPr>
                <w:b/>
                <w:bCs/>
                <w:sz w:val="22"/>
                <w:szCs w:val="22"/>
                <w:highlight w:val="none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2"/>
                <w:szCs w:val="22"/>
                <w:highlight w:val="none"/>
              </w:rPr>
            </w:pPr>
            <w:r>
              <w:rPr>
                <w:b/>
                <w:sz w:val="22"/>
                <w:szCs w:val="22"/>
                <w:highlight w:val="none"/>
              </w:rPr>
              <w:t xml:space="preserve">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170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none"/>
              </w:rPr>
            </w:pPr>
            <w:r>
              <w:rPr>
                <w:b/>
                <w:sz w:val="22"/>
                <w:szCs w:val="22"/>
                <w:highlight w:val="none"/>
              </w:rPr>
              <w:t xml:space="preserve">2</w:t>
            </w: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81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none"/>
              </w:rPr>
            </w:pPr>
            <w:r>
              <w:rPr>
                <w:b/>
                <w:sz w:val="22"/>
                <w:szCs w:val="22"/>
                <w:highlight w:val="none"/>
              </w:rPr>
              <w:t xml:space="preserve">3</w:t>
            </w: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sz w:val="22"/>
                <w:szCs w:val="22"/>
                <w:highlight w:val="none"/>
              </w:rPr>
            </w:r>
          </w:p>
        </w:tc>
        <w:tc>
          <w:tcPr>
            <w:tcW w:w="18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none"/>
              </w:rPr>
            </w:pPr>
            <w:r>
              <w:rPr>
                <w:b/>
                <w:sz w:val="22"/>
                <w:szCs w:val="22"/>
                <w:highlight w:val="none"/>
              </w:rPr>
              <w:t xml:space="preserve">4</w:t>
            </w: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none"/>
              </w:rPr>
            </w:pPr>
            <w:r>
              <w:rPr>
                <w:b/>
                <w:sz w:val="22"/>
                <w:szCs w:val="22"/>
                <w:highlight w:val="none"/>
              </w:rPr>
              <w:t xml:space="preserve">5</w:t>
            </w: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W w:w="708" w:type="dxa"/>
            <w:vAlign w:val="center"/>
            <w:textDirection w:val="lrTb"/>
            <w:noWrap w:val="false"/>
          </w:tcPr>
          <w:p>
            <w:pPr>
              <w:pStyle w:val="1323"/>
              <w:numPr>
                <w:ilvl w:val="0"/>
                <w:numId w:val="6"/>
              </w:numPr>
              <w:jc w:val="center"/>
              <w:spacing w:before="60" w:after="6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4"/>
            <w:tcW w:w="9893" w:type="dxa"/>
            <w:vAlign w:val="center"/>
            <w:textDirection w:val="lrTb"/>
            <w:noWrap w:val="false"/>
          </w:tcPr>
          <w:p>
            <w:pPr>
              <w:pStyle w:val="1327"/>
              <w:jc w:val="left"/>
              <w:keepNext w:val="0"/>
              <w:spacing w:before="0"/>
              <w:rPr>
                <w:b w:val="0"/>
                <w:sz w:val="22"/>
                <w:szCs w:val="22"/>
                <w:highlight w:val="none"/>
              </w:rPr>
              <w:outlineLvl w:val="2"/>
            </w:pPr>
            <w:r>
              <w:rPr>
                <w:sz w:val="22"/>
                <w:szCs w:val="22"/>
                <w:highlight w:val="none"/>
              </w:rPr>
              <w:t xml:space="preserve">Требования к выполнению работ</w:t>
            </w:r>
            <w:r>
              <w:rPr>
                <w:b w:val="0"/>
                <w:sz w:val="22"/>
                <w:szCs w:val="22"/>
                <w:highlight w:val="none"/>
              </w:rPr>
            </w:r>
            <w:r>
              <w:rPr>
                <w:b w:val="0"/>
                <w:sz w:val="22"/>
                <w:szCs w:val="22"/>
                <w:highlight w:val="none"/>
              </w:rPr>
            </w:r>
          </w:p>
        </w:tc>
        <w:tc>
          <w:tcPr>
            <w:tcW w:w="18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none"/>
              </w:rPr>
            </w:pPr>
            <w:r>
              <w:rPr>
                <w:b/>
                <w:sz w:val="22"/>
                <w:szCs w:val="22"/>
                <w:highlight w:val="none"/>
              </w:rPr>
              <w:t xml:space="preserve">-//-</w:t>
            </w: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Align w:val="center"/>
            <w:vMerge w:val="restart"/>
            <w:textDirection w:val="lrTb"/>
            <w:noWrap w:val="false"/>
          </w:tcPr>
          <w:p>
            <w:pPr>
              <w:pStyle w:val="1327"/>
              <w:jc w:val="left"/>
              <w:keepNext w:val="0"/>
              <w:spacing w:before="0"/>
              <w:rPr>
                <w:rFonts w:eastAsia="Times New Roman"/>
                <w:b w:val="0"/>
                <w:sz w:val="22"/>
                <w:szCs w:val="22"/>
                <w:highlight w:val="none"/>
              </w:rPr>
              <w:outlineLvl w:val="2"/>
            </w:pPr>
            <w:r>
              <w:rPr>
                <w:rFonts w:eastAsia="Times New Roman"/>
                <w:b w:val="0"/>
                <w:sz w:val="22"/>
                <w:szCs w:val="22"/>
                <w:highlight w:val="none"/>
              </w:rPr>
              <w:t xml:space="preserve">Участник должен предоставить в составе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rFonts w:eastAsia="Times New Roman"/>
                <w:b w:val="0"/>
                <w:sz w:val="22"/>
                <w:szCs w:val="22"/>
                <w:highlight w:val="none"/>
              </w:rPr>
            </w:r>
            <w:r>
              <w:rPr>
                <w:rFonts w:eastAsia="Times New Roman"/>
                <w:b w:val="0"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/>
                <w:sz w:val="22"/>
                <w:szCs w:val="22"/>
                <w:highlight w:val="none"/>
              </w:rPr>
            </w:pP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W w:w="708" w:type="dxa"/>
            <w:vAlign w:val="center"/>
            <w:textDirection w:val="lrTb"/>
            <w:noWrap w:val="false"/>
          </w:tcPr>
          <w:p>
            <w:pPr>
              <w:pStyle w:val="1323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b/>
                <w:bCs/>
                <w:sz w:val="22"/>
                <w:szCs w:val="22"/>
                <w:highlight w:val="none"/>
              </w:rPr>
            </w:pP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</w:p>
        </w:tc>
        <w:tc>
          <w:tcPr>
            <w:gridSpan w:val="4"/>
            <w:tcW w:w="9893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sz w:val="22"/>
                <w:szCs w:val="22"/>
                <w:highlight w:val="none"/>
              </w:rPr>
            </w:pPr>
            <w:r>
              <w:rPr>
                <w:b/>
                <w:sz w:val="22"/>
                <w:szCs w:val="22"/>
                <w:highlight w:val="none"/>
              </w:rPr>
              <w:t xml:space="preserve">Общие требования к выполнению работ</w:t>
            </w: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sz w:val="22"/>
                <w:szCs w:val="22"/>
                <w:highlight w:val="none"/>
              </w:rPr>
            </w:r>
          </w:p>
        </w:tc>
        <w:tc>
          <w:tcPr>
            <w:tcW w:w="187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b/>
                <w:sz w:val="22"/>
                <w:szCs w:val="22"/>
                <w:highlight w:val="none"/>
              </w:rPr>
              <w:t xml:space="preserve">-//-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08" w:type="dxa"/>
            <w:vAlign w:val="center"/>
            <w:textDirection w:val="lrTb"/>
            <w:noWrap w:val="false"/>
          </w:tcPr>
          <w:p>
            <w:pPr>
              <w:pStyle w:val="1323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706" w:type="dxa"/>
            <w:textDirection w:val="lrTb"/>
            <w:noWrap w:val="false"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8187" w:type="dxa"/>
            <w:textDirection w:val="lrTb"/>
            <w:noWrap w:val="false"/>
          </w:tcPr>
          <w:p>
            <w:pPr>
              <w:ind w:left="0" w:firstLine="0"/>
              <w:jc w:val="both"/>
              <w:spacing w:before="0" w:after="0"/>
              <w:widowControl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</w:r>
            <w:bookmarkStart w:id="0" w:name="undefined"/>
            <w:r>
              <w:rPr>
                <w:sz w:val="22"/>
                <w:szCs w:val="22"/>
                <w:highlight w:val="none"/>
              </w:rPr>
            </w:r>
            <w:bookmarkEnd w:id="0"/>
            <w:r>
              <w:rPr>
                <w:sz w:val="22"/>
                <w:szCs w:val="22"/>
                <w:highlight w:val="none"/>
              </w:rPr>
              <w:t xml:space="preserve">         При выполнении работ подрядчик должен руководствоваться следующими национальными, отраслевыми и корпоративными НТД: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78"/>
              </w:numPr>
              <w:ind w:left="0" w:firstLine="426"/>
              <w:jc w:val="both"/>
              <w:spacing w:before="0" w:after="0"/>
              <w:widowControl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  <w:t xml:space="preserve">Правила организации технического обслуживания и р</w:t>
            </w:r>
            <w:r>
              <w:rPr>
                <w:sz w:val="22"/>
                <w:szCs w:val="22"/>
                <w:highlight w:val="none"/>
              </w:rPr>
              <w:t xml:space="preserve">емонта объектов электроэнергетики, (утв. Приказом Минэнерго России от 25.10.2017 №1013);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78"/>
              </w:numPr>
              <w:ind w:left="0" w:firstLine="426"/>
              <w:jc w:val="both"/>
              <w:spacing w:before="0" w:after="0"/>
              <w:widowControl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Федеральные нормы и п</w:t>
            </w:r>
            <w:r>
              <w:rPr>
                <w:sz w:val="22"/>
                <w:szCs w:val="22"/>
                <w:highlight w:val="none"/>
              </w:rPr>
              <w:t xml:space="preserve">р</w:t>
            </w:r>
            <w:r>
              <w:rPr>
                <w:sz w:val="22"/>
                <w:szCs w:val="22"/>
                <w:highlight w:val="none"/>
              </w:rPr>
              <w:t xml:space="preserve">авила в области промышленной безопасности «Правила безопасности опасных производственных объектов, на которых используются подъемные сооружения», (утв. Приказом Федеральной службы по экологическому, технологическому и атомному надзору от 26.11.2020г. №461)</w:t>
            </w:r>
            <w:r>
              <w:rPr>
                <w:sz w:val="22"/>
                <w:szCs w:val="22"/>
                <w:highlight w:val="none"/>
              </w:rPr>
              <w:t xml:space="preserve">;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78"/>
              </w:numPr>
              <w:ind w:left="0" w:firstLine="426"/>
              <w:jc w:val="both"/>
              <w:spacing w:before="0" w:after="0"/>
              <w:widowControl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  <w:t xml:space="preserve">РД 153-34.0-21.601-98 «Типовая инструкция по эксплуатации производственных зданий и сооружений энергопредприятий. Часть II. Раздел 2. Технология ремонтов зданий и сооружений»;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78"/>
              </w:numPr>
              <w:ind w:left="0" w:firstLine="426"/>
              <w:jc w:val="both"/>
              <w:spacing w:before="0" w:after="0"/>
              <w:widowControl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СТО 70238424.27.100.017-2009 «Тепловые электростанции. Ремонт и техническое обслуживание оборудования, зданий и сооружений. Организация производственных процессов. Нормы и требования»</w:t>
            </w:r>
            <w:r>
              <w:rPr>
                <w:sz w:val="22"/>
                <w:szCs w:val="22"/>
                <w:highlight w:val="none"/>
              </w:rPr>
              <w:t xml:space="preserve">;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78"/>
              </w:numPr>
              <w:ind w:left="0" w:firstLine="426"/>
              <w:jc w:val="both"/>
              <w:spacing w:before="0" w:after="0"/>
              <w:widowControl/>
              <w:rPr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  <w:highlight w:val="none"/>
              </w:rPr>
              <w:t xml:space="preserve">СТО 17230282.27.010.001-2007. «Стандарт организации. Здания и сооружения объектов энергетики. Методика оценки технического состояния» </w:t>
            </w:r>
            <w:r>
              <w:rPr>
                <w:sz w:val="22"/>
                <w:szCs w:val="22"/>
                <w:highlight w:val="none"/>
              </w:rPr>
              <w:t xml:space="preserve">(утв. и введен в действие Приказом РАО "ЕЭС России" от 22.10.2007 N 677);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78"/>
              </w:numPr>
              <w:ind w:left="0" w:firstLine="426"/>
              <w:jc w:val="both"/>
              <w:spacing w:before="0" w:after="0"/>
              <w:widowControl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СО 34.20.608-2003</w:t>
            </w:r>
            <w:r>
              <w:rPr>
                <w:sz w:val="22"/>
                <w:szCs w:val="22"/>
                <w:highlight w:val="none"/>
              </w:rPr>
              <w:t xml:space="preserve"> (</w:t>
            </w:r>
            <w:r>
              <w:rPr>
                <w:sz w:val="22"/>
                <w:szCs w:val="22"/>
                <w:highlight w:val="none"/>
              </w:rPr>
              <w:t xml:space="preserve">РД 153-34.0-20.608-2003) «Методические указания. Проект производства работ для ремонта энергетического оборудования электростанций. Требования к составу, содержанию и оформлению</w:t>
            </w:r>
            <w:r>
              <w:rPr>
                <w:sz w:val="22"/>
                <w:szCs w:val="22"/>
                <w:highlight w:val="none"/>
              </w:rPr>
              <w:t xml:space="preserve">» (утв. </w:t>
            </w:r>
            <w:r>
              <w:rPr>
                <w:sz w:val="22"/>
                <w:szCs w:val="22"/>
              </w:rPr>
              <w:t xml:space="preserve">РАО "ЕЭС России" от 22.01.2003</w:t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  <w:highlight w:val="none"/>
              </w:rPr>
              <w:t xml:space="preserve">;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149"/>
              </w:numPr>
              <w:ind w:left="0" w:firstLine="426"/>
              <w:jc w:val="both"/>
              <w:spacing w:before="0" w:after="0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t xml:space="preserve">ВСН 214-82/ММСС СССР «Сборник инструкций по защите от коррозии» </w:t>
            </w:r>
            <w:r>
              <w:rPr>
                <w:sz w:val="22"/>
                <w:szCs w:val="22"/>
                <w:highlight w:val="none"/>
              </w:rPr>
              <w:t xml:space="preserve">утв. </w:t>
            </w:r>
            <w:r>
              <w:t xml:space="preserve">Минмонтажспецстроем СССР от 30.06.1982. (</w:t>
            </w:r>
            <w:r>
              <w:rPr>
                <w:sz w:val="22"/>
                <w:szCs w:val="22"/>
                <w:highlight w:val="none"/>
              </w:rPr>
              <w:t xml:space="preserve">Инструкция №2 по подготовке металлических и бетонных поверхностей, подлежащих антикоррозионной защите. Инструкция № 9 по защите аппаратуры химически стойкими лакокрасочными материалами);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323"/>
              <w:numPr>
                <w:ilvl w:val="0"/>
                <w:numId w:val="149"/>
              </w:numPr>
              <w:ind w:left="0" w:firstLine="426"/>
              <w:jc w:val="both"/>
              <w:spacing w:before="0" w:after="0"/>
              <w:widowControl/>
              <w:rPr>
                <w:sz w:val="24"/>
                <w:szCs w:val="24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  <w:t xml:space="preserve">СП 72.13330.2016 Защита строительных конструкций и сооружений от коррозии. СНиП 3.04.03-85 (утв. </w:t>
            </w:r>
            <w:r>
              <w:rPr>
                <w:sz w:val="22"/>
                <w:szCs w:val="22"/>
              </w:rPr>
              <w:t xml:space="preserve">приказом Министерства строительства и жилищно-коммунального хозяйства Российской Федерации от 16.12.2016 № 965/пр</w:t>
            </w:r>
            <w:r>
              <w:rPr>
                <w:sz w:val="22"/>
                <w:szCs w:val="22"/>
              </w:rPr>
              <w:t xml:space="preserve">);</w:t>
            </w:r>
            <w:r>
              <w:rPr>
                <w:sz w:val="22"/>
                <w:szCs w:val="22"/>
                <w:highlight w:val="none"/>
              </w:rPr>
              <w:t xml:space="preserve"> 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1323"/>
              <w:numPr>
                <w:ilvl w:val="0"/>
                <w:numId w:val="149"/>
              </w:numPr>
              <w:ind w:left="0" w:firstLine="426"/>
              <w:jc w:val="both"/>
              <w:spacing w:before="0" w:after="0"/>
              <w:widowControl/>
              <w:rPr>
                <w:sz w:val="24"/>
                <w:szCs w:val="24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t xml:space="preserve">ГОСТ 9.402-2004 Единая система защиты от коррозии и старения (ЕСЗКС). Покрытия лакокрасочные. Подготовка металлических поверхностей к окрашиванию (утв. </w:t>
            </w:r>
            <w:r>
              <w:t xml:space="preserve">приказом Росстандарта от 09.06.2005 N 149-ст</w:t>
            </w:r>
            <w:r>
              <w:t xml:space="preserve">);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1323"/>
              <w:numPr>
                <w:ilvl w:val="0"/>
                <w:numId w:val="78"/>
              </w:numPr>
              <w:ind w:left="0" w:firstLine="426"/>
              <w:jc w:val="both"/>
              <w:spacing w:before="0" w:after="0"/>
              <w:widowControl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  <w:t xml:space="preserve">ГОСТ 31993-2024 (ISO 2808:2019) Материалы лакокрасочные. Определение толщи</w:t>
            </w:r>
            <w:r>
              <w:rPr>
                <w:sz w:val="22"/>
                <w:szCs w:val="22"/>
                <w:highlight w:val="none"/>
              </w:rPr>
              <w:t xml:space="preserve">ны покрытия</w:t>
            </w:r>
            <w:r>
              <w:rPr>
                <w:sz w:val="22"/>
                <w:szCs w:val="22"/>
                <w:highlight w:val="none"/>
              </w:rPr>
              <w:t xml:space="preserve"> (утв.</w:t>
            </w:r>
            <w:r>
              <w:rPr>
                <w:sz w:val="22"/>
                <w:szCs w:val="22"/>
                <w:highlight w:val="none"/>
              </w:rPr>
              <w:t xml:space="preserve">приказом Росстандарта от 12.11.2024 №1655-ст</w:t>
            </w:r>
            <w:r>
              <w:rPr>
                <w:sz w:val="22"/>
                <w:szCs w:val="22"/>
                <w:highlight w:val="none"/>
              </w:rPr>
              <w:t xml:space="preserve">);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78"/>
              </w:numPr>
              <w:ind w:left="0" w:firstLine="426"/>
              <w:jc w:val="both"/>
              <w:spacing w:before="0" w:after="0"/>
              <w:widowControl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  <w:t xml:space="preserve">ГОСТ 34741-2021 Системы газораспределительные. Требования к эксплуатации сетей газораспределения природного газа. (утв. </w:t>
            </w:r>
            <w:r>
              <w:rPr>
                <w:sz w:val="22"/>
                <w:szCs w:val="22"/>
                <w:highlight w:val="none"/>
              </w:rPr>
              <w:t xml:space="preserve">приказом Росстандарта от 20.10.2021 №1191-ст</w:t>
            </w:r>
            <w:r>
              <w:rPr>
                <w:sz w:val="22"/>
                <w:szCs w:val="22"/>
                <w:highlight w:val="none"/>
              </w:rPr>
              <w:t xml:space="preserve">);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78"/>
              </w:numPr>
              <w:ind w:left="0" w:firstLine="426"/>
              <w:jc w:val="both"/>
              <w:spacing w:before="0" w:after="0"/>
              <w:widowControl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  <w:t xml:space="preserve">Положение 21-002-2019 «</w:t>
            </w:r>
            <w:r>
              <w:rPr>
                <w:sz w:val="22"/>
                <w:szCs w:val="22"/>
                <w:highlight w:val="none"/>
              </w:rPr>
              <w:t xml:space="preserve">Об организации и выполнению технического обслуживания и ремонта оборудования АО «ДГК</w:t>
            </w:r>
            <w:r>
              <w:rPr>
                <w:sz w:val="22"/>
                <w:szCs w:val="22"/>
                <w:highlight w:val="none"/>
              </w:rPr>
              <w:t xml:space="preserve">» </w:t>
            </w:r>
            <w:r>
              <w:rPr>
                <w:sz w:val="22"/>
                <w:szCs w:val="22"/>
                <w:highlight w:val="none"/>
              </w:rPr>
              <w:t xml:space="preserve"> (Приложение №4 к настоящим ТТ);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78"/>
              </w:numPr>
              <w:ind w:left="0" w:firstLine="426"/>
              <w:jc w:val="both"/>
              <w:spacing w:before="0" w:after="0"/>
              <w:widowControl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  <w:t xml:space="preserve">Техническими условиями на ремонт, технологическими картами и другими действующими нормативными документами.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W w:w="1873" w:type="dxa"/>
            <w:textDirection w:val="lrTb"/>
            <w:noWrap w:val="false"/>
          </w:tcPr>
          <w:p>
            <w:pPr>
              <w:jc w:val="center"/>
              <w:rPr>
                <w:i/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  <w:t xml:space="preserve">Согласие с требованием</w:t>
            </w:r>
            <w:r>
              <w:rPr>
                <w:i/>
                <w:sz w:val="22"/>
                <w:szCs w:val="22"/>
                <w:highlight w:val="none"/>
              </w:rPr>
            </w:r>
            <w:r>
              <w:rPr>
                <w:i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08" w:type="dxa"/>
            <w:vAlign w:val="center"/>
            <w:textDirection w:val="lrTb"/>
            <w:noWrap w:val="false"/>
          </w:tcPr>
          <w:p>
            <w:pPr>
              <w:pStyle w:val="1323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b/>
                <w:bCs/>
                <w:sz w:val="22"/>
                <w:szCs w:val="22"/>
                <w:highlight w:val="none"/>
              </w:rPr>
            </w:pP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</w:p>
        </w:tc>
        <w:tc>
          <w:tcPr>
            <w:gridSpan w:val="4"/>
            <w:tcW w:w="9893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2"/>
                <w:szCs w:val="22"/>
                <w:highlight w:val="none"/>
              </w:rPr>
            </w:pPr>
            <w:r>
              <w:rPr>
                <w:b/>
                <w:sz w:val="22"/>
                <w:szCs w:val="22"/>
                <w:highlight w:val="none"/>
              </w:rPr>
              <w:t xml:space="preserve">Требования к организации работ</w:t>
            </w: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sz w:val="22"/>
                <w:szCs w:val="22"/>
                <w:highlight w:val="none"/>
              </w:rPr>
            </w:r>
          </w:p>
        </w:tc>
        <w:tc>
          <w:tcPr>
            <w:tcW w:w="1873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none"/>
              </w:rPr>
            </w:pPr>
            <w:r>
              <w:rPr>
                <w:b/>
                <w:sz w:val="22"/>
                <w:szCs w:val="22"/>
                <w:highlight w:val="none"/>
              </w:rPr>
              <w:t xml:space="preserve">-//-</w:t>
            </w: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0"/>
        </w:trPr>
        <w:tc>
          <w:tcPr>
            <w:tcW w:w="708" w:type="dxa"/>
            <w:vAlign w:val="center"/>
            <w:textDirection w:val="lrTb"/>
            <w:noWrap w:val="false"/>
          </w:tcPr>
          <w:p>
            <w:pPr>
              <w:pStyle w:val="1323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1706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b/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Требования к организации процесса выполнения работ:</w:t>
            </w: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8187" w:type="dxa"/>
            <w:textDirection w:val="lrTb"/>
            <w:noWrap w:val="false"/>
          </w:tcPr>
          <w:p>
            <w:pPr>
              <w:ind w:firstLine="456"/>
              <w:jc w:val="both"/>
              <w:spacing w:after="60"/>
              <w:rPr>
                <w:iCs/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Комплекс организационно–технических мероприятий, выполняемы</w:t>
            </w:r>
            <w:r>
              <w:rPr>
                <w:sz w:val="22"/>
                <w:szCs w:val="22"/>
                <w:highlight w:val="none"/>
              </w:rPr>
              <w:t xml:space="preserve">й при подготовке к ремонту, должен обеспечивать планомерное и качественное выполнение ремонтных работ в установленные сроки, качество ремонтных работ и отремонтированного оборудования, оптимальное расходование материально-технических и трудовые ресурсов.</w:t>
            </w:r>
            <w:r>
              <w:rPr>
                <w:iCs/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</w:r>
          </w:p>
          <w:p>
            <w:pPr>
              <w:ind w:firstLine="456"/>
              <w:jc w:val="both"/>
              <w:spacing w:after="60"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  <w:t xml:space="preserve">До начала ремонта подрядные организации–исполнители ремонта: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7"/>
              </w:numPr>
              <w:ind w:left="0" w:firstLine="349"/>
              <w:jc w:val="both"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проводят проверку выполнения подготовительных работ в соответствии с </w:t>
            </w:r>
            <w:r>
              <w:rPr>
                <w:sz w:val="22"/>
                <w:szCs w:val="22"/>
                <w:highlight w:val="none"/>
              </w:rPr>
              <w:t xml:space="preserve">нормами и правилами в области промышленной безопасности и </w:t>
            </w:r>
            <w:r>
              <w:rPr>
                <w:sz w:val="22"/>
                <w:szCs w:val="22"/>
                <w:highlight w:val="none"/>
              </w:rPr>
              <w:t xml:space="preserve">планом подготовки к ремонту;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7"/>
              </w:numPr>
              <w:ind w:left="0" w:firstLine="349"/>
              <w:jc w:val="both"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определяют состав бригад (участков) </w:t>
            </w:r>
            <w:r>
              <w:rPr>
                <w:sz w:val="22"/>
                <w:szCs w:val="22"/>
                <w:highlight w:val="none"/>
              </w:rPr>
              <w:t xml:space="preserve">для выполнения работ по Договору по численности, квалификации и профессиям в соответствии с сетевым графиком ремонта. При этом должна быть обеспечена полная занятость рабочих в течение установленных графиком сроков производства работ; 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7"/>
              </w:numPr>
              <w:ind w:left="0" w:firstLine="349"/>
              <w:jc w:val="both"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назначают руководителей работ по ремонту отдельных видов </w:t>
            </w:r>
            <w:r>
              <w:rPr>
                <w:sz w:val="22"/>
                <w:szCs w:val="22"/>
                <w:highlight w:val="none"/>
              </w:rPr>
              <w:t xml:space="preserve">работ</w:t>
            </w:r>
            <w:r>
              <w:rPr>
                <w:sz w:val="22"/>
                <w:szCs w:val="22"/>
                <w:highlight w:val="none"/>
              </w:rPr>
              <w:t xml:space="preserve"> в соответствии с номенклатурой и объемом работ, принятым по договору;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7"/>
              </w:numPr>
              <w:ind w:left="0" w:firstLine="349"/>
              <w:jc w:val="both"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назначают лиц, ответственных за </w:t>
            </w:r>
            <w:r>
              <w:rPr>
                <w:sz w:val="22"/>
                <w:szCs w:val="22"/>
                <w:highlight w:val="none"/>
              </w:rPr>
              <w:t xml:space="preserve">соблюдение норм и правил в области охраны труда, электробезопасности, пожарной и промышленной безопасности</w:t>
            </w:r>
            <w:r>
              <w:rPr>
                <w:sz w:val="22"/>
                <w:szCs w:val="22"/>
                <w:highlight w:val="none"/>
              </w:rPr>
              <w:t xml:space="preserve"> и материально–техническое обеспечение; 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7"/>
              </w:numPr>
              <w:ind w:left="0" w:firstLine="349"/>
              <w:jc w:val="both"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проверяют удостоверения стропальщиков, дефектоскопистов и лиц других специальностей на право выполнения работ при ремонте АКЗ оборудования</w:t>
            </w:r>
            <w:r>
              <w:rPr>
                <w:sz w:val="22"/>
                <w:szCs w:val="22"/>
                <w:highlight w:val="none"/>
              </w:rPr>
              <w:t xml:space="preserve">;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7"/>
              </w:numPr>
              <w:ind w:left="0" w:firstLine="349"/>
              <w:jc w:val="both"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проверяют выполнение требований допуска ремонтного и командированного персонала, предусмотренного п. 1.2.2 технических требований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7"/>
              </w:numPr>
              <w:ind w:left="0" w:firstLine="349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  <w:t xml:space="preserve">разрабатывают и предоставляют Заказчику на согласование ППР с указанием методов и технологии выполнения </w:t>
            </w:r>
            <w:r>
              <w:rPr>
                <w:iCs/>
                <w:sz w:val="22"/>
                <w:szCs w:val="22"/>
                <w:highlight w:val="none"/>
              </w:rPr>
              <w:t xml:space="preserve">работ, организационные вопросы, мероприятия по технике безопасности и охране труда.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456"/>
              <w:jc w:val="both"/>
              <w:spacing w:after="60"/>
              <w:rPr>
                <w:b/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  <w:t xml:space="preserve">Руководители работ подрядных организаций, участвующие в производстве Работ совместно с представителями Заказчика, осуществляют входной контроль качеств</w:t>
            </w:r>
            <w:r>
              <w:rPr>
                <w:iCs/>
                <w:sz w:val="22"/>
                <w:szCs w:val="22"/>
                <w:highlight w:val="none"/>
              </w:rPr>
              <w:t xml:space="preserve">а применяемых материалов, 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документации, качества применяемой оснастки, приспособлений и инструмента).</w:t>
            </w: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sz w:val="22"/>
                <w:szCs w:val="22"/>
                <w:highlight w:val="none"/>
              </w:rPr>
            </w:r>
          </w:p>
        </w:tc>
        <w:tc>
          <w:tcPr>
            <w:tcW w:w="1873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b/>
                <w:i/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  <w:t xml:space="preserve">Согласие с требованием</w:t>
            </w:r>
            <w:r>
              <w:rPr>
                <w:b/>
                <w:i/>
                <w:sz w:val="22"/>
                <w:szCs w:val="22"/>
                <w:highlight w:val="none"/>
              </w:rPr>
            </w:r>
            <w:r>
              <w:rPr>
                <w:b/>
                <w:i/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0"/>
        </w:trPr>
        <w:tc>
          <w:tcPr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pStyle w:val="1323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1706" w:type="dxa"/>
            <w:vMerge w:val="restart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i/>
                <w:iCs/>
                <w:sz w:val="22"/>
                <w:szCs w:val="22"/>
                <w:highlight w:val="none"/>
              </w:rPr>
              <w:t xml:space="preserve">Организационно-технические мероприятия по допуску персонала подрядчика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8187" w:type="dxa"/>
            <w:vMerge w:val="restart"/>
            <w:textDirection w:val="lrTb"/>
            <w:noWrap w:val="false"/>
          </w:tcPr>
          <w:p>
            <w:pPr>
              <w:ind w:firstLine="456"/>
              <w:jc w:val="both"/>
              <w:spacing w:after="60"/>
              <w:rPr>
                <w:rFonts w:ascii="Times New Roman" w:hAnsi="Times New Roman" w:cs="Times New Roman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 xml:space="preserve">Допуск персонала подрядчика для выполнения работ должен осуществляться в соответствии с: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112"/>
              </w:numPr>
              <w:ind w:left="0" w:firstLine="349"/>
              <w:jc w:val="both"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  <w:t xml:space="preserve">Положением 22.1-504-2025 «О допуске персонала подрядных организаций к выполнению работ на объектах АО «ДГК» (утверждено приказом АО «ДГК» от 25.09.2025г. №П-ДГК/795) (Приложение №4</w:t>
            </w:r>
            <w:r>
              <w:rPr>
                <w:sz w:val="22"/>
                <w:szCs w:val="22"/>
                <w:highlight w:val="none"/>
              </w:rPr>
              <w:t xml:space="preserve"> к техническим требованиям);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112"/>
              </w:numPr>
              <w:ind w:left="0" w:firstLine="349"/>
              <w:jc w:val="both"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Инструкцией по организации пропускного режима ХТЭЦ-1 от 30.10.2024 </w:t>
            </w:r>
            <w:r>
              <w:rPr>
                <w:iCs/>
                <w:sz w:val="22"/>
                <w:szCs w:val="22"/>
                <w:highlight w:val="none"/>
              </w:rPr>
              <w:t xml:space="preserve">(Приложение №4 к техническим требованиям)</w:t>
            </w:r>
            <w:r>
              <w:rPr>
                <w:iCs/>
                <w:sz w:val="22"/>
                <w:szCs w:val="22"/>
                <w:highlight w:val="none"/>
              </w:rPr>
              <w:t xml:space="preserve">.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ind w:firstLine="456"/>
              <w:jc w:val="both"/>
              <w:spacing w:after="60"/>
              <w:rPr>
                <w:bCs/>
                <w:i/>
                <w:sz w:val="22"/>
                <w:szCs w:val="22"/>
                <w:highlight w:val="none"/>
                <w14:ligatures w14:val="none"/>
              </w:rPr>
            </w:pPr>
            <w:r>
              <w:rPr>
                <w:i/>
                <w:iCs/>
                <w:sz w:val="22"/>
                <w:szCs w:val="22"/>
                <w:highlight w:val="none"/>
              </w:rPr>
              <w:t xml:space="preserve"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закупке.</w:t>
            </w:r>
            <w:r>
              <w:rPr>
                <w:bCs/>
                <w:i/>
                <w:sz w:val="22"/>
                <w:szCs w:val="22"/>
                <w:highlight w:val="none"/>
                <w14:ligatures w14:val="none"/>
              </w:rPr>
            </w:r>
            <w:r>
              <w:rPr>
                <w:bCs/>
                <w:i/>
                <w:sz w:val="22"/>
                <w:szCs w:val="22"/>
                <w:highlight w:val="none"/>
                <w14:ligatures w14:val="none"/>
              </w:rPr>
            </w:r>
          </w:p>
        </w:tc>
        <w:tc>
          <w:tcPr>
            <w:tcW w:w="187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  <w:t xml:space="preserve">Согласие с требованием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i/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</w:r>
            <w:r>
              <w:rPr>
                <w:i/>
                <w:sz w:val="22"/>
                <w:szCs w:val="22"/>
                <w:highlight w:val="none"/>
              </w:rPr>
            </w:r>
            <w:r>
              <w:rPr>
                <w:i/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9"/>
        </w:trPr>
        <w:tc>
          <w:tcPr>
            <w:tcW w:w="708" w:type="dxa"/>
            <w:vAlign w:val="center"/>
            <w:textDirection w:val="lrTb"/>
            <w:noWrap w:val="false"/>
          </w:tcPr>
          <w:p>
            <w:pPr>
              <w:pStyle w:val="1323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4"/>
            <w:tcW w:w="9893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/>
                <w:sz w:val="22"/>
                <w:szCs w:val="22"/>
                <w:highlight w:val="none"/>
              </w:rPr>
            </w:pPr>
            <w:r>
              <w:rPr>
                <w:b/>
                <w:sz w:val="22"/>
                <w:szCs w:val="22"/>
                <w:highlight w:val="none"/>
              </w:rPr>
              <w:t xml:space="preserve">Требования к контролю качества работ и МТР</w:t>
            </w: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sz w:val="22"/>
                <w:szCs w:val="22"/>
                <w:highlight w:val="none"/>
              </w:rPr>
            </w:r>
          </w:p>
        </w:tc>
        <w:tc>
          <w:tcPr>
            <w:tcW w:w="187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b/>
                <w:sz w:val="22"/>
                <w:szCs w:val="22"/>
                <w:highlight w:val="none"/>
              </w:rPr>
              <w:t xml:space="preserve">-//-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b/>
                <w:sz w:val="22"/>
                <w:szCs w:val="22"/>
                <w:highlight w:val="none"/>
              </w:rPr>
            </w:pP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08" w:type="dxa"/>
            <w:vAlign w:val="center"/>
            <w:textDirection w:val="lrTb"/>
            <w:noWrap w:val="false"/>
          </w:tcPr>
          <w:p>
            <w:pPr>
              <w:pStyle w:val="1323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1706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Требования к материалам Подрядчика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8187" w:type="dxa"/>
            <w:textDirection w:val="lrTb"/>
            <w:noWrap w:val="false"/>
          </w:tcPr>
          <w:p>
            <w:pPr>
              <w:pStyle w:val="1323"/>
              <w:numPr>
                <w:ilvl w:val="0"/>
                <w:numId w:val="85"/>
              </w:numPr>
              <w:ind w:left="0" w:firstLine="349"/>
              <w:jc w:val="both"/>
              <w:rPr>
                <w:sz w:val="22"/>
                <w:szCs w:val="22"/>
                <w:highlight w:val="none"/>
              </w:rPr>
              <w:pBdr>
                <w:between w:val="none" w:color="000000" w:sz="0" w:space="0"/>
              </w:pBdr>
            </w:pPr>
            <w:r>
              <w:rPr>
                <w:iCs/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</w:rPr>
              <w:t xml:space="preserve">Материалы Подрядчика, необходимые для выполнения работ по ремонту </w:t>
            </w:r>
            <w:r>
              <w:rPr>
                <w:rFonts w:eastAsia="Calibri"/>
                <w:sz w:val="24"/>
                <w:szCs w:val="24"/>
              </w:rPr>
              <w:t xml:space="preserve">антикоррозийной защиты оборудования</w:t>
            </w:r>
            <w:r>
              <w:rPr>
                <w:sz w:val="22"/>
                <w:szCs w:val="22"/>
              </w:rPr>
              <w:t xml:space="preserve"> Хабаровской ТЭЦ-1</w:t>
            </w:r>
            <w:r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 xml:space="preserve">приобретаются Подрядчиком самостоятельно согласно </w:t>
            </w:r>
            <w:r>
              <w:rPr>
                <w:iCs/>
                <w:sz w:val="22"/>
                <w:szCs w:val="22"/>
              </w:rPr>
              <w:t xml:space="preserve">Ведомости материалов, являющейся приложением к настоящим Техническим требованиям (Приложение № 2.1)</w:t>
            </w:r>
            <w:r>
              <w:rPr>
                <w:sz w:val="22"/>
                <w:szCs w:val="22"/>
                <w:highlight w:val="none"/>
              </w:rPr>
              <w:t xml:space="preserve">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85"/>
              </w:numPr>
              <w:ind w:left="0" w:firstLine="349"/>
              <w:jc w:val="both"/>
              <w:rPr>
                <w:sz w:val="22"/>
                <w:szCs w:val="22"/>
                <w:highlight w:val="none"/>
              </w:rPr>
              <w:pBdr>
                <w:between w:val="none" w:color="000000" w:sz="0" w:space="0"/>
              </w:pBdr>
            </w:pPr>
            <w:r>
              <w:rPr>
                <w:iCs/>
                <w:sz w:val="22"/>
                <w:szCs w:val="22"/>
                <w:highlight w:val="none"/>
              </w:rPr>
              <w:t xml:space="preserve">Все применяемые материалы должны быть новыми и ранее не использованными, без повреждений.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87"/>
              </w:numPr>
              <w:ind w:left="0" w:firstLine="349"/>
              <w:jc w:val="both"/>
              <w:rPr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sz w:val="22"/>
                <w:szCs w:val="22"/>
                <w:highlight w:val="none"/>
              </w:rPr>
              <w:t xml:space="preserve">М</w:t>
            </w:r>
            <w:r>
              <w:rPr>
                <w:sz w:val="22"/>
                <w:szCs w:val="22"/>
                <w:highlight w:val="none"/>
              </w:rPr>
              <w:t xml:space="preserve">атериалы Подрядчика должны иметь сертификаты, паспорта и другие документы, подтверждающие их качество.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139"/>
              </w:numPr>
              <w:ind w:left="0" w:firstLine="349"/>
              <w:jc w:val="both"/>
              <w:rPr>
                <w:sz w:val="22"/>
                <w:szCs w:val="22"/>
              </w:rPr>
              <w:pBdr>
                <w:between w:val="none" w:color="000000" w:sz="0" w:space="0"/>
              </w:pBdr>
            </w:pPr>
            <w:r>
              <w:rPr>
                <w:sz w:val="22"/>
                <w:szCs w:val="22"/>
              </w:rPr>
              <w:t xml:space="preserve">Подрядчиком в работе могут быть применены эквивалентные материалы*, предварительно согласованные с Заказчиком.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323"/>
              <w:numPr>
                <w:ilvl w:val="0"/>
                <w:numId w:val="138"/>
              </w:numPr>
              <w:ind w:left="0" w:firstLine="349"/>
              <w:jc w:val="both"/>
              <w:rPr>
                <w:sz w:val="22"/>
                <w:szCs w:val="22"/>
              </w:rPr>
              <w:pBdr>
                <w:between w:val="none" w:color="000000" w:sz="0" w:space="0"/>
              </w:pBdr>
            </w:pPr>
            <w:r>
              <w:rPr>
                <w:sz w:val="22"/>
                <w:szCs w:val="22"/>
              </w:rPr>
              <w:t xml:space="preserve">В случае, если на этапе исполнения договора Подрядчиком, вместо материалов, указанных в Ведомости материалов (Приложение № 2.1</w:t>
            </w:r>
            <w:r>
              <w:rPr>
                <w:sz w:val="22"/>
                <w:szCs w:val="22"/>
              </w:rPr>
              <w:t xml:space="preserve"> к</w:t>
            </w:r>
            <w:r>
              <w:rPr>
                <w:sz w:val="22"/>
                <w:szCs w:val="22"/>
              </w:rPr>
              <w:t xml:space="preserve"> ТТ), будет применяться эквивалентная продукция, Подрядчик принимает на себя все затраты по внесению соответствующих изменений в техническую и сметную документацию, а также согласованию ее с Заказчиком без увеличения общей стоимости по Договору.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firstLine="0"/>
              <w:jc w:val="both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sz w:val="22"/>
                <w:szCs w:val="22"/>
              </w:rPr>
              <w:t xml:space="preserve">         * </w:t>
            </w:r>
            <w:r>
              <w:rPr>
                <w:i/>
                <w:sz w:val="22"/>
                <w:szCs w:val="22"/>
              </w:rPr>
              <w:t xml:space="preserve">Эквивалентная продукция - это продукция, которая по техническим и функциональным характеристикам не уступает характеристикам, указанных в перечне материалов Подрядчика и технической документации.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7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  <w:t xml:space="preserve">Согласие с требованием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b/>
                <w:bCs/>
                <w:sz w:val="22"/>
                <w:szCs w:val="22"/>
                <w:highlight w:val="none"/>
              </w:rPr>
            </w:pP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pStyle w:val="1323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1706" w:type="dxa"/>
            <w:vMerge w:val="restart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Контроль </w:t>
            </w:r>
            <w:r>
              <w:rPr>
                <w:sz w:val="22"/>
                <w:szCs w:val="22"/>
                <w:highlight w:val="none"/>
              </w:rPr>
              <w:t xml:space="preserve">качества используемых  материалов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8187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  <w:highlight w:val="none"/>
              </w:rPr>
              <w:pBdr>
                <w:between w:val="none" w:color="000000" w:sz="0" w:space="0"/>
              </w:pBdr>
            </w:pPr>
            <w:r>
              <w:rPr>
                <w:sz w:val="22"/>
                <w:szCs w:val="22"/>
                <w:highlight w:val="none"/>
              </w:rPr>
              <w:t xml:space="preserve">Подрядчик должен обеспечить входной контроль поступающих для выполнения работ материалов, включающий в себя проверку: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96"/>
              </w:numPr>
              <w:ind w:left="0" w:firstLine="349"/>
              <w:jc w:val="both"/>
              <w:rPr>
                <w:sz w:val="22"/>
                <w:szCs w:val="22"/>
                <w:highlight w:val="none"/>
              </w:rPr>
              <w:pBdr>
                <w:between w:val="none" w:color="000000" w:sz="0" w:space="0"/>
              </w:pBdr>
            </w:pPr>
            <w:r>
              <w:rPr>
                <w:sz w:val="22"/>
                <w:szCs w:val="22"/>
                <w:highlight w:val="none"/>
              </w:rPr>
              <w:t xml:space="preserve">наличия соответствующих сертификатов;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96"/>
              </w:numPr>
              <w:ind w:left="0" w:firstLine="349"/>
              <w:jc w:val="both"/>
              <w:rPr>
                <w:sz w:val="22"/>
                <w:szCs w:val="22"/>
                <w:highlight w:val="none"/>
              </w:rPr>
              <w:pBdr>
                <w:between w:val="none" w:color="000000" w:sz="0" w:space="0"/>
              </w:pBdr>
            </w:pPr>
            <w:r>
              <w:rPr>
                <w:sz w:val="22"/>
                <w:szCs w:val="22"/>
                <w:highlight w:val="none"/>
              </w:rPr>
              <w:t xml:space="preserve">наличия и надлежащего заполнения документа о качестве и соответствии приведенных в нем данных характеристикам, установленным в нормативном документе, регламентирующем </w:t>
            </w:r>
            <w:r>
              <w:rPr>
                <w:sz w:val="22"/>
                <w:szCs w:val="22"/>
                <w:highlight w:val="none"/>
              </w:rPr>
              <w:t xml:space="preserve">технические требования к данной продукции.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187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  <w:t xml:space="preserve">Согласие с требованием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i/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</w:r>
            <w:r>
              <w:rPr>
                <w:i/>
                <w:sz w:val="22"/>
                <w:szCs w:val="22"/>
                <w:highlight w:val="none"/>
              </w:rPr>
            </w:r>
            <w:r>
              <w:rPr>
                <w:i/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pStyle w:val="1323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1706" w:type="dxa"/>
            <w:vMerge w:val="restart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i/>
                <w:iCs/>
                <w:sz w:val="22"/>
                <w:szCs w:val="22"/>
                <w:highlight w:val="none"/>
              </w:rPr>
              <w:t xml:space="preserve">Требования к оборудованию Подрядчика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8187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sz w:val="22"/>
                <w:szCs w:val="22"/>
                <w:highlight w:val="none"/>
              </w:rPr>
              <w:t xml:space="preserve">      Подрядчик должен иметь м</w:t>
            </w:r>
            <w:r>
              <w:rPr>
                <w:sz w:val="22"/>
                <w:szCs w:val="22"/>
                <w:highlight w:val="none"/>
              </w:rPr>
              <w:t xml:space="preserve">инимальное количество оборудования </w:t>
            </w:r>
            <w:r>
              <w:rPr>
                <w:sz w:val="22"/>
                <w:szCs w:val="22"/>
                <w:highlight w:val="none"/>
              </w:rPr>
              <w:t xml:space="preserve">необходимого для выполнения работ по ремонту </w:t>
            </w:r>
            <w:r>
              <w:rPr>
                <w:rFonts w:eastAsia="Calibri"/>
                <w:sz w:val="24"/>
                <w:szCs w:val="24"/>
              </w:rPr>
              <w:t xml:space="preserve">антикоррозийной защиты оборудования</w:t>
            </w:r>
            <w:r>
              <w:rPr>
                <w:sz w:val="22"/>
                <w:szCs w:val="22"/>
              </w:rPr>
              <w:t xml:space="preserve"> Хабаровской ТЭЦ-1.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166"/>
              </w:numPr>
              <w:contextualSpacing/>
              <w:ind w:left="0" w:firstLine="363"/>
              <w:jc w:val="both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  <w:suppressLineNumbers w:val="0"/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Для выполнения работ по пескоструйной очистке </w:t>
            </w:r>
            <w:r>
              <w:rPr>
                <w:sz w:val="22"/>
                <w:szCs w:val="22"/>
                <w:highlight w:val="none"/>
              </w:rPr>
              <w:t xml:space="preserve">внутренней и наружной поверхности Анионитового фильтра 1 ступени №2, Н-катионитового фильтра 2 ступени №2, </w:t>
            </w:r>
            <w:r>
              <w:rPr>
                <w:sz w:val="22"/>
                <w:szCs w:val="22"/>
                <w:highlight w:val="none"/>
              </w:rPr>
              <w:t xml:space="preserve">трансформатора связи №7 ТДЦН-125000/110, </w:t>
            </w:r>
            <w:r>
              <w:rPr>
                <w:sz w:val="22"/>
                <w:szCs w:val="22"/>
                <w:highlight w:val="none"/>
              </w:rPr>
              <w:t xml:space="preserve">в</w:t>
            </w:r>
            <w:r>
              <w:rPr>
                <w:sz w:val="22"/>
                <w:szCs w:val="22"/>
                <w:highlight w:val="none"/>
              </w:rPr>
              <w:t xml:space="preserve">нутреннего газопровода котлоагрегата №9</w:t>
            </w:r>
            <w:r>
              <w:rPr>
                <w:sz w:val="22"/>
                <w:szCs w:val="22"/>
                <w:highlight w:val="none"/>
              </w:rPr>
              <w:t xml:space="preserve"> (раздел 1, раздел 4, раздел 9 приложения №2 к ТТ Ведомость объемов работ) Подрядчик должен иметь: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96"/>
              </w:numPr>
              <w:ind w:left="0" w:firstLine="349"/>
              <w:jc w:val="both"/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Компрессор воздушный с ресивером, производительностью 3,5-4,0 м3/мин и более 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-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не менее 1 единицы;</w:t>
            </w:r>
            <w:r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</w:r>
            <w:r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96"/>
              </w:numPr>
              <w:ind w:left="0" w:firstLine="349"/>
              <w:jc w:val="both"/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sz w:val="22"/>
                <w:szCs w:val="22"/>
                <w:highlight w:val="none"/>
              </w:rPr>
              <w:t xml:space="preserve">Установка аброзивоструйная или аппарат струйной очистки с диаметром сопла 6-8 мм  </w:t>
            </w:r>
            <w:r>
              <w:rPr>
                <w:sz w:val="22"/>
                <w:szCs w:val="22"/>
                <w:highlight w:val="none"/>
              </w:rPr>
              <w:t xml:space="preserve">-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не менее 1 единицы.</w:t>
            </w:r>
            <w:r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</w:r>
            <w:r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166"/>
              </w:numPr>
              <w:contextualSpacing/>
              <w:ind w:left="0" w:firstLine="363"/>
              <w:jc w:val="both"/>
              <w:rPr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  <w:suppressLineNumbers w:val="0"/>
            </w:pPr>
            <w:r>
              <w:rPr>
                <w:sz w:val="22"/>
                <w:szCs w:val="22"/>
                <w:highlight w:val="none"/>
              </w:rPr>
              <w:t xml:space="preserve">Для нанесения лакокрасочных покрытий при выполнении работ по ремонту АКЗ газопроводов КЦ</w:t>
            </w:r>
            <w:r>
              <w:rPr>
                <w:sz w:val="22"/>
                <w:szCs w:val="22"/>
                <w:highlight w:val="none"/>
              </w:rPr>
              <w:t xml:space="preserve"> (раздел 9 приложения №2 к ТТ Ведомость объемов работ) Подрядчик должен иметь: 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96"/>
              </w:numPr>
              <w:ind w:left="0" w:firstLine="349"/>
              <w:jc w:val="both"/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sz w:val="22"/>
                <w:szCs w:val="22"/>
                <w:highlight w:val="none"/>
              </w:rPr>
              <w:t xml:space="preserve">Аппарат окрасочный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 </w:t>
            </w:r>
            <w:r>
              <w:rPr>
                <w:sz w:val="22"/>
                <w:szCs w:val="22"/>
                <w:highlight w:val="none"/>
              </w:rPr>
              <w:t xml:space="preserve">-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не менее 1 единицы;</w:t>
            </w:r>
            <w:r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</w:r>
            <w:r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166"/>
              </w:numPr>
              <w:contextualSpacing/>
              <w:ind w:left="0" w:firstLine="363"/>
              <w:jc w:val="both"/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Для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 контроля качества лакокрасочных покрытий 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огласно требований п. 22.2.  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нструкции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№ 9 по защите аппаратуры химически стойкими лакокрасочными материалами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ВСН 214-82/ММСС СССР «Сборник инструкций по защите от коррозии»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утв.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Минмонтажспецстроем СССР от 30.06.1982) </w:t>
            </w:r>
            <w:r>
              <w:rPr>
                <w:sz w:val="22"/>
                <w:szCs w:val="22"/>
                <w:highlight w:val="none"/>
              </w:rPr>
              <w:t xml:space="preserve">Подрядчик должен иметь: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 </w:t>
            </w:r>
            <w:r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</w:r>
            <w:r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96"/>
              </w:numPr>
              <w:ind w:left="0" w:firstLine="349"/>
              <w:jc w:val="both"/>
              <w:rPr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Магнитный толщиномер</w:t>
            </w:r>
            <w:r>
              <w:rPr>
                <w:sz w:val="22"/>
                <w:szCs w:val="22"/>
                <w:highlight w:val="none"/>
              </w:rPr>
              <w:t xml:space="preserve"> - 1 единица;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96"/>
              </w:numPr>
              <w:ind w:left="0" w:firstLine="349"/>
              <w:jc w:val="both"/>
              <w:rPr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sz w:val="22"/>
                <w:szCs w:val="22"/>
                <w:highlight w:val="none"/>
              </w:rPr>
              <w:t xml:space="preserve">Дефектоскоп ЛКД-1М (или аналог) - </w:t>
            </w:r>
            <w:r>
              <w:rPr>
                <w:sz w:val="22"/>
                <w:szCs w:val="22"/>
                <w:highlight w:val="none"/>
              </w:rPr>
              <w:t xml:space="preserve">1 единица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</w:tc>
        <w:tc>
          <w:tcPr>
            <w:tcW w:w="187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  <w:t xml:space="preserve">Согласие с требованием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i/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</w:r>
            <w:r>
              <w:rPr>
                <w:i/>
                <w:sz w:val="22"/>
                <w:szCs w:val="22"/>
                <w:highlight w:val="none"/>
              </w:rPr>
            </w:r>
            <w:r>
              <w:rPr>
                <w:i/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pStyle w:val="1323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1706" w:type="dxa"/>
            <w:vMerge w:val="restart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rFonts w:eastAsia="Calibri"/>
                <w:i/>
                <w:iCs/>
                <w:sz w:val="22"/>
                <w:szCs w:val="22"/>
                <w:highlight w:val="none"/>
              </w:rPr>
              <w:t xml:space="preserve">Требования к контролю качества р</w:t>
            </w:r>
            <w:r>
              <w:rPr>
                <w:rFonts w:eastAsia="Calibri"/>
                <w:i/>
                <w:iCs/>
                <w:sz w:val="22"/>
                <w:szCs w:val="22"/>
                <w:highlight w:val="none"/>
              </w:rPr>
              <w:t xml:space="preserve">аб</w:t>
            </w:r>
            <w:r>
              <w:rPr>
                <w:rFonts w:eastAsia="Calibri"/>
                <w:i/>
                <w:iCs/>
                <w:sz w:val="22"/>
                <w:szCs w:val="22"/>
                <w:highlight w:val="none"/>
              </w:rPr>
              <w:t xml:space="preserve">от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8187" w:type="dxa"/>
            <w:vMerge w:val="restart"/>
            <w:textDirection w:val="lrTb"/>
            <w:noWrap w:val="false"/>
          </w:tcPr>
          <w:p>
            <w:pPr>
              <w:ind w:firstLine="456"/>
              <w:jc w:val="both"/>
              <w:spacing w:after="60"/>
              <w:pBdr>
                <w:between w:val="none" w:color="000000" w:sz="0" w:space="0"/>
              </w:pBdr>
            </w:pPr>
            <w:r>
              <w:rPr>
                <w:sz w:val="22"/>
                <w:szCs w:val="22"/>
              </w:rPr>
              <w:t xml:space="preserve">В соответствии с законом № 184-ФЗ «О техническом регулировании» Подрядчик принимает на себя добровольное обязательство </w:t>
            </w:r>
            <w:r>
              <w:rPr>
                <w:sz w:val="22"/>
                <w:szCs w:val="22"/>
              </w:rPr>
              <w:t xml:space="preserve">о соблюдении требований правил, техниче</w:t>
            </w:r>
            <w:r>
              <w:rPr>
                <w:sz w:val="22"/>
                <w:szCs w:val="22"/>
              </w:rPr>
              <w:t xml:space="preserve">ских условий, ГОСТ, ПУЭ и других нормативных технических документов, указанных в п.1.1.1 настоящей таблице, действующих на момент заключения договора и добровольное обязательство о выполнении работ с качеством, соответствующим вышеперечисленным документам.</w:t>
            </w:r>
            <w:r/>
          </w:p>
          <w:p>
            <w:pPr>
              <w:ind w:firstLine="456"/>
              <w:jc w:val="both"/>
              <w:spacing w:after="60"/>
              <w:pBdr>
                <w:between w:val="none" w:color="000000" w:sz="0" w:space="0"/>
              </w:pBdr>
            </w:pPr>
            <w:r>
              <w:rPr>
                <w:sz w:val="22"/>
                <w:szCs w:val="22"/>
              </w:rPr>
              <w:t xml:space="preserve">До начала работ Подрядчик предоставляет на согласование Заказчику график выполнения работ, технологические карты, проекты производства работ. После окончания работ в срок Подрядчик представляет отчетные документы в объеме и форме определенной Заказчиком.</w:t>
            </w:r>
            <w:r/>
          </w:p>
          <w:p>
            <w:pPr>
              <w:ind w:firstLine="456"/>
              <w:jc w:val="both"/>
              <w:spacing w:after="60"/>
              <w:rPr>
                <w:sz w:val="22"/>
                <w:szCs w:val="22"/>
                <w:highlight w:val="none"/>
              </w:rPr>
              <w:pBdr>
                <w:between w:val="none" w:color="000000" w:sz="0" w:space="0"/>
              </w:pBdr>
            </w:pPr>
            <w:r>
              <w:rPr>
                <w:sz w:val="22"/>
                <w:szCs w:val="22"/>
              </w:rPr>
              <w:t xml:space="preserve">Контроль за ходом и качеством работ осуществляется как Подрядчиком, так и Подрядчиком совместно с Заказчиком.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456"/>
              <w:jc w:val="both"/>
              <w:spacing w:after="60"/>
              <w:pBdr>
                <w:between w:val="none" w:color="000000" w:sz="0" w:space="0"/>
              </w:pBd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Контроль качества антикоррозийной защиты производится инструментальным методом. Приборы для измерения адгезии и толщины защитного покрытия должны быть поверены;</w:t>
            </w:r>
            <w:r/>
          </w:p>
          <w:p>
            <w:pPr>
              <w:ind w:firstLine="456"/>
              <w:jc w:val="both"/>
              <w:spacing w:after="60"/>
              <w:pBdr>
                <w:between w:val="none" w:color="000000" w:sz="0" w:space="0"/>
              </w:pBdr>
            </w:pPr>
            <w:r>
              <w:rPr>
                <w:sz w:val="22"/>
                <w:szCs w:val="22"/>
              </w:rPr>
              <w:t xml:space="preserve">Заказчик вправе в любое время проверять ход и качество работы, выполняемой Подрядчиком не вмешиваясь в его организационную деятельность.</w:t>
            </w:r>
            <w:r/>
          </w:p>
          <w:p>
            <w:pPr>
              <w:ind w:firstLine="456"/>
              <w:jc w:val="both"/>
              <w:spacing w:after="6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sz w:val="22"/>
                <w:szCs w:val="22"/>
              </w:rPr>
              <w:t xml:space="preserve">Заказчик вправе вмешаться в производство работ Подрядчика, если последний:</w:t>
            </w:r>
            <w:r/>
          </w:p>
          <w:p>
            <w:pPr>
              <w:pStyle w:val="1323"/>
              <w:numPr>
                <w:ilvl w:val="0"/>
                <w:numId w:val="160"/>
              </w:numPr>
              <w:ind w:left="0" w:firstLine="349"/>
              <w:jc w:val="both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sz w:val="22"/>
                <w:szCs w:val="22"/>
              </w:rPr>
              <w:t xml:space="preserve">своими дей</w:t>
            </w:r>
            <w:r>
              <w:rPr>
                <w:sz w:val="22"/>
                <w:szCs w:val="22"/>
              </w:rPr>
              <w:t xml:space="preserve">ствиями вызвал угрозу нарушения нормальной эксплуатации </w:t>
            </w:r>
            <w:r>
              <w:rPr>
                <w:rFonts w:eastAsia="Calibri"/>
                <w:sz w:val="22"/>
                <w:szCs w:val="22"/>
              </w:rPr>
              <w:t xml:space="preserve">оборудования</w:t>
            </w:r>
            <w:r>
              <w:rPr>
                <w:rFonts w:eastAsia="Calibri"/>
                <w:sz w:val="22"/>
                <w:szCs w:val="22"/>
                <w:highlight w:val="white"/>
              </w:rPr>
              <w:t xml:space="preserve"> Хабаровской ТЭЦ-1</w:t>
            </w:r>
            <w:r>
              <w:rPr>
                <w:sz w:val="22"/>
                <w:szCs w:val="22"/>
              </w:rPr>
              <w:t xml:space="preserve"> или нарушает ПТЭ, ПТБ, правила Ростехнадзора РФ, правила противопожарной безопасности или угрозу жизни людей, или угрозу экологической безопасности населения;</w:t>
            </w:r>
            <w:r/>
          </w:p>
          <w:p>
            <w:pPr>
              <w:pStyle w:val="1323"/>
              <w:numPr>
                <w:ilvl w:val="0"/>
                <w:numId w:val="160"/>
              </w:numPr>
              <w:ind w:left="0" w:firstLine="349"/>
              <w:jc w:val="both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sz w:val="22"/>
                <w:szCs w:val="22"/>
              </w:rPr>
              <w:t xml:space="preserve">выполняет работы с нарушением согласованного графика, если окончание их в срок невозможно;</w:t>
            </w:r>
            <w:r/>
          </w:p>
          <w:p>
            <w:pPr>
              <w:pStyle w:val="1323"/>
              <w:numPr>
                <w:ilvl w:val="0"/>
                <w:numId w:val="160"/>
              </w:numPr>
              <w:ind w:left="0" w:firstLine="349"/>
              <w:jc w:val="both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sz w:val="22"/>
                <w:szCs w:val="22"/>
              </w:rPr>
              <w:t xml:space="preserve">допустил дефекты, которые могут быть скрыты последующими работами;</w:t>
            </w:r>
            <w:r/>
          </w:p>
          <w:p>
            <w:pPr>
              <w:pStyle w:val="1323"/>
              <w:numPr>
                <w:ilvl w:val="0"/>
                <w:numId w:val="160"/>
              </w:numPr>
              <w:ind w:left="0" w:firstLine="349"/>
              <w:jc w:val="both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sz w:val="22"/>
                <w:szCs w:val="22"/>
              </w:rPr>
              <w:t xml:space="preserve">не выполняет требования технологической и нормативно-технической документации.</w:t>
            </w:r>
            <w:r>
              <w:rPr>
                <w:sz w:val="22"/>
                <w:szCs w:val="22"/>
                <w:highlight w:val="none"/>
              </w:rPr>
            </w:r>
            <w:r/>
          </w:p>
        </w:tc>
        <w:tc>
          <w:tcPr>
            <w:tcW w:w="1873" w:type="dxa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</w:r>
            <w:r>
              <w:rPr>
                <w:i/>
                <w:sz w:val="22"/>
                <w:szCs w:val="22"/>
                <w:highlight w:val="none"/>
              </w:rPr>
              <w:t xml:space="preserve">Согласие с требованием</w:t>
            </w:r>
            <w:r>
              <w:rPr>
                <w:i/>
                <w:sz w:val="22"/>
                <w:szCs w:val="22"/>
                <w:highlight w:val="none"/>
              </w:rPr>
            </w:r>
            <w:r>
              <w:rPr>
                <w:i/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6"/>
        </w:trPr>
        <w:tc>
          <w:tcPr>
            <w:tcW w:w="708" w:type="dxa"/>
            <w:vAlign w:val="center"/>
            <w:textDirection w:val="lrTb"/>
            <w:noWrap w:val="false"/>
          </w:tcPr>
          <w:p>
            <w:pPr>
              <w:pStyle w:val="1323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4"/>
            <w:tcW w:w="9893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b/>
                <w:sz w:val="22"/>
                <w:szCs w:val="22"/>
                <w:highlight w:val="none"/>
              </w:rPr>
              <w:t xml:space="preserve">Требования к персоналу Подрядчика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187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b/>
                <w:sz w:val="22"/>
                <w:szCs w:val="22"/>
                <w:highlight w:val="none"/>
              </w:rPr>
              <w:t xml:space="preserve">-//-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6"/>
        </w:trPr>
        <w:tc>
          <w:tcPr>
            <w:tcW w:w="708" w:type="dxa"/>
            <w:vAlign w:val="center"/>
            <w:textDirection w:val="lrTb"/>
            <w:noWrap w:val="false"/>
          </w:tcPr>
          <w:p>
            <w:pPr>
              <w:pStyle w:val="1323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4"/>
            <w:tcW w:w="9893" w:type="dxa"/>
            <w:vAlign w:val="center"/>
            <w:textDirection w:val="lrTb"/>
            <w:noWrap w:val="false"/>
          </w:tcPr>
          <w:p>
            <w:pPr>
              <w:ind w:right="97" w:firstLine="460"/>
              <w:jc w:val="both"/>
              <w:widowControl w:val="off"/>
              <w:rPr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Подрядчик должен: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98"/>
              </w:numPr>
              <w:ind w:left="0" w:firstLine="349"/>
              <w:jc w:val="both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иметь минимально необходимое для выполнения работ количество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квалифицированного персонала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оформленного в соответствии с Гражданским Кодексом Российской Федерации или привлекаемого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 трудовым либо гражданско-правовым договорам, либо планируемого к привлечению, в том числе по договорам субподряда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  <w14:ligatures w14:val="none"/>
              </w:rPr>
            </w:r>
          </w:p>
          <w:p>
            <w:pPr>
              <w:pStyle w:val="1323"/>
              <w:numPr>
                <w:ilvl w:val="0"/>
                <w:numId w:val="98"/>
              </w:numPr>
              <w:ind w:left="0" w:firstLine="349"/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  <w:t xml:space="preserve">иметь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ru-RU"/>
              </w:rPr>
              <w:t xml:space="preserve">не менее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 3-х человек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прошедших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проверку знаний требований охраны труда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(руководитель, производитель работ и всех членов бригады) </w:t>
            </w:r>
            <w:r>
              <w:rPr>
                <w:bCs/>
                <w:sz w:val="22"/>
                <w:szCs w:val="22"/>
                <w:highlight w:val="none"/>
              </w:rPr>
              <w:t xml:space="preserve">задействованного при производстве Работ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по Наряду-допуску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Руководитель работ должен соответствовать требованиям п.3.10.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профессионального стандарта «Специалист по системам защитных покрытий поверхности зданий и сооружений опасных производственных объектов» утв. 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риказом Минтруда России от 19.10.2021 №733н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/>
          </w:p>
          <w:p>
            <w:pPr>
              <w:pStyle w:val="1323"/>
              <w:numPr>
                <w:ilvl w:val="0"/>
                <w:numId w:val="98"/>
              </w:numPr>
              <w:ind w:left="0" w:firstLine="349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проводить работы аттестованными и квалифицированными специалист</w:t>
            </w:r>
            <w:r>
              <w:rPr>
                <w:bCs/>
                <w:sz w:val="22"/>
                <w:szCs w:val="22"/>
                <w:highlight w:val="none"/>
              </w:rPr>
              <w:t xml:space="preserve">ами рабочих специальностей и ИТР, которые обучены смежным профессиям (стропальщик;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разнорабочий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, владеющий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пневматическими инструментами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ручными инструментами</w:t>
            </w:r>
            <w:r>
              <w:rPr>
                <w:bCs/>
                <w:sz w:val="22"/>
                <w:szCs w:val="22"/>
                <w:highlight w:val="none"/>
              </w:rPr>
              <w:t xml:space="preserve">) и иметь удостоверение об обучении смежной профессии в организации, имеющей лицензию и ежегодно проходить проверку знаний.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187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  <w:t xml:space="preserve">Согласие с требованием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08" w:type="dxa"/>
            <w:vAlign w:val="center"/>
            <w:textDirection w:val="lrTb"/>
            <w:noWrap w:val="false"/>
          </w:tcPr>
          <w:p>
            <w:pPr>
              <w:pStyle w:val="1323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4"/>
            <w:tcW w:w="9893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2"/>
                <w:szCs w:val="22"/>
                <w:highlight w:val="none"/>
              </w:rPr>
            </w:pPr>
            <w:r>
              <w:rPr>
                <w:b/>
                <w:sz w:val="22"/>
                <w:szCs w:val="22"/>
                <w:highlight w:val="none"/>
              </w:rPr>
              <w:t xml:space="preserve">Требования к безопасности работ и охране труда</w:t>
            </w: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sz w:val="22"/>
                <w:szCs w:val="22"/>
                <w:highlight w:val="none"/>
              </w:rPr>
            </w:r>
          </w:p>
        </w:tc>
        <w:tc>
          <w:tcPr>
            <w:tcW w:w="1873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none"/>
              </w:rPr>
            </w:pPr>
            <w:r>
              <w:rPr>
                <w:b/>
                <w:sz w:val="22"/>
                <w:szCs w:val="22"/>
                <w:highlight w:val="none"/>
              </w:rPr>
              <w:t xml:space="preserve">-//-</w:t>
            </w: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08" w:type="dxa"/>
            <w:vAlign w:val="center"/>
            <w:textDirection w:val="lrTb"/>
            <w:noWrap w:val="false"/>
          </w:tcPr>
          <w:p>
            <w:pPr>
              <w:pStyle w:val="1323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1531" w:type="dxa"/>
            <w:textDirection w:val="lrTb"/>
            <w:noWrap w:val="false"/>
          </w:tcPr>
          <w:p>
            <w:pPr>
              <w:spacing w:before="60" w:after="60"/>
              <w:rPr>
                <w:sz w:val="22"/>
                <w:szCs w:val="22"/>
                <w:highlight w:val="none"/>
              </w:rPr>
              <w:outlineLvl w:val="2"/>
            </w:pPr>
            <w:r>
              <w:rPr>
                <w:sz w:val="22"/>
                <w:szCs w:val="22"/>
                <w:highlight w:val="none"/>
              </w:rPr>
            </w:r>
            <w:bookmarkStart w:id="0" w:name="undefined"/>
            <w:r>
              <w:rPr>
                <w:sz w:val="22"/>
                <w:szCs w:val="22"/>
                <w:highlight w:val="none"/>
              </w:rPr>
            </w:r>
            <w:bookmarkStart w:id="0" w:name="undefined"/>
            <w:r>
              <w:rPr>
                <w:rFonts w:eastAsia="Calibri"/>
                <w:i/>
                <w:sz w:val="22"/>
                <w:szCs w:val="22"/>
                <w:highlight w:val="none"/>
              </w:rPr>
              <w:t xml:space="preserve">Требования к безопасности выполняемых работ</w:t>
            </w:r>
            <w:bookmarkEnd w:id="0"/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3"/>
            <w:tcW w:w="8362" w:type="dxa"/>
            <w:textDirection w:val="lrTb"/>
            <w:noWrap w:val="false"/>
          </w:tcPr>
          <w:p>
            <w:pPr>
              <w:ind w:firstLine="460"/>
              <w:jc w:val="both"/>
              <w:widowControl w:val="off"/>
              <w:rPr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Меры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99"/>
              </w:numPr>
              <w:ind w:left="142" w:right="0" w:firstLine="207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СО34.03.201-97 (РД 34.03.201-97) Правила техники безопасности при эксплуатации тепломеханического оборудования электростанци</w:t>
            </w:r>
            <w:r>
              <w:rPr>
                <w:sz w:val="22"/>
                <w:szCs w:val="22"/>
                <w:highlight w:val="none"/>
              </w:rPr>
              <w:t xml:space="preserve">й и тепловых сетей;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99"/>
              </w:numPr>
              <w:ind w:left="142" w:right="0" w:firstLine="207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  <w:t xml:space="preserve">СП 49.13330.2010 «Безопасность труда в строительстве» Часть 1. Общие требования. Приняты и введены в действие Постановлением Госстроя РФ от 23.07.2001 г. №80;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152"/>
              </w:numPr>
              <w:ind w:left="0" w:firstLine="426"/>
              <w:jc w:val="both"/>
              <w:spacing w:before="0" w:after="0"/>
              <w:widowControl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  <w:t xml:space="preserve">СНиП 12-04-2002 «Безопасность труда в строительстве» Часть 2. Строительное производство». Приняты и введены в действие Постановлением Госстроя РФ от 17.09.2002 г. №123</w:t>
            </w:r>
            <w:r>
              <w:rPr>
                <w:iCs/>
                <w:sz w:val="22"/>
                <w:szCs w:val="22"/>
                <w:highlight w:val="none"/>
              </w:rPr>
              <w:t xml:space="preserve">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152"/>
              </w:numPr>
              <w:ind w:left="0" w:firstLine="426"/>
              <w:jc w:val="both"/>
              <w:spacing w:before="0" w:after="0"/>
              <w:widowControl/>
              <w:rPr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Т</w:t>
            </w:r>
            <w:r>
              <w:rPr>
                <w:sz w:val="22"/>
                <w:szCs w:val="22"/>
                <w:highlight w:val="none"/>
              </w:rPr>
              <w:t xml:space="preserve">Р </w:t>
            </w:r>
            <w:r>
              <w:rPr>
                <w:sz w:val="22"/>
                <w:szCs w:val="22"/>
                <w:highlight w:val="none"/>
              </w:rPr>
              <w:t xml:space="preserve">ТС 010/2011 Технический регламент Таможенного союза "О безопасности машин и оборудования" </w:t>
            </w:r>
            <w:r>
              <w:rPr>
                <w:sz w:val="22"/>
                <w:szCs w:val="22"/>
                <w:highlight w:val="none"/>
              </w:rPr>
              <w:t xml:space="preserve">от 18.10.2011 № 010/2011;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152"/>
              </w:numPr>
              <w:ind w:left="0" w:firstLine="426"/>
              <w:jc w:val="both"/>
              <w:spacing w:before="0" w:after="0"/>
              <w:widowControl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  <w:t xml:space="preserve">«Технический </w:t>
            </w:r>
            <w:r>
              <w:rPr>
                <w:sz w:val="22"/>
                <w:szCs w:val="22"/>
                <w:highlight w:val="none"/>
              </w:rPr>
              <w:t xml:space="preserve">регламент о безопасности сетей газораспределения и газопотреблени» (утв. </w:t>
            </w:r>
            <w:r>
              <w:rPr>
                <w:sz w:val="22"/>
                <w:szCs w:val="22"/>
                <w:highlight w:val="none"/>
              </w:rPr>
              <w:t xml:space="preserve">Постановлением Правительства РФ от 29.10.2010 № 870);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152"/>
              </w:numPr>
              <w:ind w:left="0" w:firstLine="426"/>
              <w:jc w:val="both"/>
              <w:spacing w:before="0" w:after="0"/>
              <w:widowControl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  <w:t xml:space="preserve">Федеральные нормы и правила в области промышленной безопасности "Правила безопасности сетей газораспределения и газопотребления" (утв.  </w:t>
            </w:r>
            <w:r>
              <w:t xml:space="preserve">Приказом Ростехнадзора от 15.12.2020 №531)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152"/>
              </w:numPr>
              <w:ind w:left="0" w:firstLine="426"/>
              <w:jc w:val="both"/>
              <w:spacing w:before="0" w:after="0"/>
              <w:widowControl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ГОСТ Р 12.3.052-2020 Система стандартов безопасности труда (ССБТ). Строительство. Работы антикоррозионные. Требования безопасности (утв. </w:t>
            </w:r>
            <w:r>
              <w:rPr>
                <w:sz w:val="22"/>
                <w:szCs w:val="22"/>
                <w:highlight w:val="none"/>
              </w:rPr>
              <w:t xml:space="preserve">приказом Росстандарта от 18.11.2020 № 1136-ст</w:t>
            </w:r>
            <w:r>
              <w:rPr>
                <w:sz w:val="22"/>
                <w:szCs w:val="22"/>
                <w:highlight w:val="none"/>
              </w:rPr>
              <w:t xml:space="preserve">).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spacing w:before="60"/>
              <w:widowControl w:val="off"/>
              <w:tabs>
                <w:tab w:val="left" w:pos="426" w:leader="none"/>
              </w:tabs>
              <w:rPr>
                <w:bCs/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  <w:t xml:space="preserve">Более подробно требования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tcW w:w="1873" w:type="dxa"/>
            <w:textDirection w:val="lrTb"/>
            <w:noWrap w:val="false"/>
          </w:tcPr>
          <w:p>
            <w:pPr>
              <w:jc w:val="center"/>
              <w:rPr>
                <w:b/>
                <w:i/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  <w:t xml:space="preserve">Согласие с требованием</w:t>
            </w:r>
            <w:r>
              <w:rPr>
                <w:b/>
                <w:i/>
                <w:sz w:val="22"/>
                <w:szCs w:val="22"/>
                <w:highlight w:val="none"/>
              </w:rPr>
            </w:r>
            <w:r>
              <w:rPr>
                <w:b/>
                <w:i/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pStyle w:val="1323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1531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eastAsia="Calibri"/>
                <w:bCs/>
                <w:sz w:val="22"/>
                <w:szCs w:val="22"/>
                <w:highlight w:val="none"/>
              </w:rPr>
              <w:outlineLvl w:val="2"/>
            </w:pPr>
            <w:r>
              <w:rPr>
                <w:sz w:val="22"/>
                <w:szCs w:val="22"/>
                <w:highlight w:val="none"/>
              </w:rPr>
            </w:r>
            <w:bookmarkStart w:id="0" w:name="undefined"/>
            <w:r>
              <w:rPr>
                <w:sz w:val="22"/>
                <w:szCs w:val="22"/>
                <w:highlight w:val="none"/>
              </w:rPr>
            </w:r>
            <w:bookmarkStart w:id="0" w:name="undefined"/>
            <w:r>
              <w:rPr>
                <w:rFonts w:eastAsia="Calibri"/>
                <w:i/>
                <w:sz w:val="22"/>
                <w:szCs w:val="22"/>
                <w:highlight w:val="none"/>
              </w:rPr>
              <w:t xml:space="preserve">Соблюдение требований к пожарной безопасности</w:t>
            </w:r>
            <w:bookmarkEnd w:id="0"/>
            <w:r>
              <w:rPr>
                <w:rFonts w:eastAsia="Calibri"/>
                <w:bCs/>
                <w:sz w:val="22"/>
                <w:szCs w:val="22"/>
                <w:highlight w:val="none"/>
              </w:rPr>
            </w:r>
            <w:r>
              <w:rPr>
                <w:rFonts w:eastAsia="Calibri"/>
                <w:bCs/>
                <w:sz w:val="22"/>
                <w:szCs w:val="22"/>
                <w:highlight w:val="none"/>
              </w:rPr>
            </w:r>
          </w:p>
        </w:tc>
        <w:tc>
          <w:tcPr>
            <w:gridSpan w:val="3"/>
            <w:tcW w:w="8362" w:type="dxa"/>
            <w:vMerge w:val="restart"/>
            <w:textDirection w:val="lrTb"/>
            <w:noWrap w:val="false"/>
          </w:tcPr>
          <w:p>
            <w:pPr>
              <w:ind w:firstLine="460"/>
              <w:jc w:val="both"/>
              <w:widowControl w:val="off"/>
              <w:rPr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100"/>
              </w:numPr>
              <w:ind w:left="142" w:right="0" w:firstLine="207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  <w:t xml:space="preserve">Правилах</w:t>
            </w:r>
            <w:r>
              <w:rPr>
                <w:bCs/>
                <w:sz w:val="22"/>
                <w:szCs w:val="22"/>
                <w:highlight w:val="none"/>
              </w:rPr>
              <w:t xml:space="preserve"> противопожарного режима в Российской Федерации, утверждены  Постановлением Правительства РФ от 16.09.2020 № 1479;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100"/>
              </w:numPr>
              <w:ind w:left="142" w:right="0" w:firstLine="207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  <w:t xml:space="preserve">Федеральный закон от 22.07.2008 № 123-ФЗ</w:t>
            </w:r>
            <w:r>
              <w:rPr>
                <w:iCs/>
                <w:sz w:val="22"/>
                <w:szCs w:val="22"/>
                <w:highlight w:val="none"/>
              </w:rPr>
              <w:t xml:space="preserve"> </w:t>
            </w:r>
            <w:r>
              <w:rPr>
                <w:iCs/>
                <w:sz w:val="22"/>
                <w:szCs w:val="22"/>
                <w:highlight w:val="none"/>
              </w:rPr>
              <w:t xml:space="preserve">«Технический регламент о требованиях пожарной безопасности»;</w:t>
            </w:r>
            <w:r>
              <w:rPr>
                <w:iCs/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100"/>
              </w:numPr>
              <w:ind w:left="142" w:right="0" w:firstLine="207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  <w:t xml:space="preserve">ГОСТ 12.1.004-91 «Система стандартов безопасности труда (ССБТ). Пожарная безопасность. Общие требования</w:t>
            </w:r>
            <w:r>
              <w:rPr>
                <w:iCs/>
                <w:sz w:val="22"/>
                <w:szCs w:val="22"/>
                <w:highlight w:val="none"/>
              </w:rPr>
              <w:t xml:space="preserve">» (утв. </w:t>
            </w:r>
            <w:r>
              <w:rPr>
                <w:sz w:val="22"/>
                <w:szCs w:val="22"/>
                <w:highlight w:val="none"/>
              </w:rPr>
              <w:t xml:space="preserve">постановлением Госстандарта СССР от 14.06.1991 № 875</w:t>
            </w:r>
            <w:r>
              <w:rPr>
                <w:iCs/>
                <w:sz w:val="22"/>
                <w:szCs w:val="22"/>
                <w:highlight w:val="none"/>
              </w:rPr>
              <w:t xml:space="preserve">)</w:t>
            </w:r>
            <w:r>
              <w:rPr>
                <w:iCs/>
                <w:sz w:val="22"/>
                <w:szCs w:val="22"/>
                <w:highlight w:val="none"/>
              </w:rPr>
              <w:t xml:space="preserve">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100"/>
              </w:numPr>
              <w:ind w:left="142" w:right="0" w:firstLine="207"/>
              <w:jc w:val="both"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ГОСТ 12.1.010-76 «Система стандартов безопасности труда (ССБТ). Взрывобезопасность. Общие требования» (утв. </w:t>
            </w:r>
            <w:r>
              <w:rPr>
                <w:sz w:val="22"/>
                <w:szCs w:val="22"/>
                <w:highlight w:val="none"/>
              </w:rPr>
              <w:t xml:space="preserve">постановлением Госстандарта СССР от 28.06.1976 № 1581</w:t>
            </w:r>
            <w:r>
              <w:rPr>
                <w:sz w:val="22"/>
                <w:szCs w:val="22"/>
                <w:highlight w:val="none"/>
              </w:rPr>
              <w:t xml:space="preserve">).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contextualSpacing/>
              <w:ind w:left="0" w:right="0" w:firstLine="425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  <w:t xml:space="preserve"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contextualSpacing/>
              <w:ind w:left="0" w:right="0" w:firstLine="425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  <w:t xml:space="preserve">Персональную ответственность за обеспечение пожарной безопасности несёт руководитель подрядной организации или лицо, его замещающее.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ind w:left="0" w:right="0" w:firstLine="425"/>
              <w:jc w:val="both"/>
              <w:tabs>
                <w:tab w:val="left" w:pos="256" w:leader="none"/>
              </w:tabs>
              <w:rPr>
                <w:bCs/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  <w:t xml:space="preserve">Место производства работ</w:t>
            </w:r>
            <w:r>
              <w:rPr>
                <w:iCs/>
                <w:sz w:val="22"/>
                <w:szCs w:val="22"/>
                <w:highlight w:val="none"/>
              </w:rPr>
              <w:t xml:space="preserve"> должно быть оснащено средствами пожаротушения. 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tcW w:w="1873" w:type="dxa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  <w:t xml:space="preserve">Согласие с требованием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i/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</w:r>
            <w:r>
              <w:rPr>
                <w:i/>
                <w:sz w:val="22"/>
                <w:szCs w:val="22"/>
                <w:highlight w:val="none"/>
              </w:rPr>
            </w:r>
            <w:r>
              <w:rPr>
                <w:i/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pStyle w:val="1323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1531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eastAsia="Calibri"/>
                <w:bCs/>
                <w:sz w:val="22"/>
                <w:szCs w:val="22"/>
                <w:highlight w:val="none"/>
              </w:rPr>
              <w:outlineLvl w:val="2"/>
            </w:pPr>
            <w:r>
              <w:rPr>
                <w:sz w:val="22"/>
                <w:szCs w:val="22"/>
                <w:highlight w:val="none"/>
              </w:rPr>
            </w:r>
            <w:bookmarkStart w:id="0" w:name="undefined"/>
            <w:r>
              <w:rPr>
                <w:sz w:val="22"/>
                <w:szCs w:val="22"/>
                <w:highlight w:val="none"/>
              </w:rPr>
            </w:r>
            <w:bookmarkStart w:id="0" w:name="undefined"/>
            <w:r>
              <w:rPr>
                <w:rFonts w:eastAsia="Calibri"/>
                <w:i/>
                <w:sz w:val="22"/>
                <w:szCs w:val="22"/>
                <w:highlight w:val="none"/>
              </w:rPr>
              <w:t xml:space="preserve">Соблюдение требований к охране окружающей среды</w:t>
            </w:r>
            <w:bookmarkEnd w:id="0"/>
            <w:r>
              <w:rPr>
                <w:rFonts w:eastAsia="Calibri"/>
                <w:bCs/>
                <w:sz w:val="22"/>
                <w:szCs w:val="22"/>
                <w:highlight w:val="none"/>
              </w:rPr>
            </w:r>
            <w:r>
              <w:rPr>
                <w:rFonts w:eastAsia="Calibri"/>
                <w:bCs/>
                <w:sz w:val="22"/>
                <w:szCs w:val="22"/>
                <w:highlight w:val="none"/>
              </w:rPr>
            </w:r>
          </w:p>
        </w:tc>
        <w:tc>
          <w:tcPr>
            <w:gridSpan w:val="3"/>
            <w:tcW w:w="8362" w:type="dxa"/>
            <w:vMerge w:val="restart"/>
            <w:textDirection w:val="lrTb"/>
            <w:noWrap w:val="false"/>
          </w:tcPr>
          <w:p>
            <w:pPr>
              <w:ind w:left="0" w:right="0" w:firstLine="425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  <w:t xml:space="preserve">При выполнении всех ремонтных и общестроительных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left="0" w:right="0" w:firstLine="425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  <w:t xml:space="preserve">Отходы, строительный мусор должны своевременно вывозиться для дальнейшей утилизации.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contextualSpacing/>
              <w:ind w:left="0" w:right="225" w:firstLine="425"/>
              <w:jc w:val="both"/>
              <w:widowControl w:val="off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  <w:t xml:space="preserve">Мероприятия и работы по охране окружающей среды вести в соответствии: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101"/>
              </w:numPr>
              <w:ind w:left="142" w:right="0" w:firstLine="207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  <w:t xml:space="preserve">Федеральный закон от 10.01.2002 № 7-ФЗ «Об охране окружающей среды»;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101"/>
              </w:numPr>
              <w:ind w:left="142" w:right="0" w:firstLine="207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  <w:t xml:space="preserve">Федеральный закон от 04.05.1999 № 96-ФЗ «Об охране атмосферного воздуха»;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101"/>
              </w:numPr>
              <w:ind w:left="142" w:right="0" w:firstLine="207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  <w:t xml:space="preserve">Федеральный закон от 03.06.2006 № 74-ФЗ</w:t>
            </w:r>
            <w:r>
              <w:rPr>
                <w:iCs/>
                <w:sz w:val="22"/>
                <w:szCs w:val="22"/>
                <w:highlight w:val="none"/>
              </w:rPr>
              <w:t xml:space="preserve"> </w:t>
            </w:r>
            <w:r>
              <w:rPr>
                <w:iCs/>
                <w:sz w:val="22"/>
                <w:szCs w:val="22"/>
                <w:highlight w:val="none"/>
              </w:rPr>
              <w:t xml:space="preserve">«</w:t>
            </w:r>
            <w:r>
              <w:rPr>
                <w:iCs/>
                <w:sz w:val="22"/>
                <w:szCs w:val="22"/>
                <w:highlight w:val="none"/>
              </w:rPr>
              <w:t xml:space="preserve">Водный кодекс Российской Федерации</w:t>
            </w:r>
            <w:r>
              <w:rPr>
                <w:iCs/>
                <w:sz w:val="22"/>
                <w:szCs w:val="22"/>
                <w:highlight w:val="none"/>
              </w:rPr>
              <w:t xml:space="preserve">»</w:t>
            </w:r>
            <w:r>
              <w:rPr>
                <w:iCs/>
                <w:sz w:val="22"/>
                <w:szCs w:val="22"/>
                <w:highlight w:val="none"/>
              </w:rPr>
              <w:t xml:space="preserve">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119"/>
              </w:numPr>
              <w:ind w:left="0" w:firstLine="349"/>
              <w:jc w:val="both"/>
              <w:rPr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СТО 70238424.13.060.30.001-2008 Тепловые электрические станции. Экологическая безопасность. Защита водной среды. Нормы и требования</w:t>
            </w:r>
            <w:r>
              <w:rPr>
                <w:sz w:val="22"/>
                <w:szCs w:val="22"/>
                <w:highlight w:val="none"/>
              </w:rPr>
              <w:t xml:space="preserve">;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120"/>
              </w:numPr>
              <w:ind w:left="0" w:firstLine="349"/>
              <w:jc w:val="both"/>
              <w:rPr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СП 34.13330.2021 «СНиП 2.02.02-85* Автомобильные дороги» (утв. </w:t>
            </w:r>
            <w:r>
              <w:rPr>
                <w:sz w:val="22"/>
                <w:szCs w:val="22"/>
                <w:highlight w:val="none"/>
              </w:rPr>
              <w:t xml:space="preserve">Приказ Министерства строительства и жилищно-коммунального хозяйства Российской Федерации от 09.02.2021 № 53/пр)</w:t>
            </w:r>
            <w:r>
              <w:rPr>
                <w:sz w:val="22"/>
                <w:szCs w:val="22"/>
                <w:highlight w:val="none"/>
              </w:rPr>
              <w:t xml:space="preserve">.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</w:tc>
        <w:tc>
          <w:tcPr>
            <w:tcW w:w="1873" w:type="dxa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  <w:t xml:space="preserve">Согласие с требованием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i/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</w:r>
            <w:r>
              <w:rPr>
                <w:i/>
                <w:sz w:val="22"/>
                <w:szCs w:val="22"/>
                <w:highlight w:val="none"/>
              </w:rPr>
            </w:r>
            <w:r>
              <w:rPr>
                <w:i/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pStyle w:val="1323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1531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eastAsia="Calibri"/>
                <w:bCs/>
                <w:sz w:val="22"/>
                <w:szCs w:val="22"/>
                <w:highlight w:val="none"/>
              </w:rPr>
              <w:outlineLvl w:val="2"/>
            </w:pPr>
            <w:r>
              <w:rPr>
                <w:sz w:val="22"/>
                <w:szCs w:val="22"/>
                <w:highlight w:val="none"/>
              </w:rPr>
            </w:r>
            <w:bookmarkStart w:id="0" w:name="undefined"/>
            <w:r>
              <w:rPr>
                <w:sz w:val="22"/>
                <w:szCs w:val="22"/>
                <w:highlight w:val="none"/>
              </w:rPr>
            </w:r>
            <w:bookmarkStart w:id="0" w:name="undefined"/>
            <w:r>
              <w:rPr>
                <w:rFonts w:eastAsia="Calibri"/>
                <w:i/>
                <w:sz w:val="22"/>
                <w:szCs w:val="22"/>
                <w:highlight w:val="none"/>
              </w:rPr>
              <w:t xml:space="preserve">Соблюдение требований охраны труда</w:t>
            </w:r>
            <w:bookmarkEnd w:id="0"/>
            <w:r>
              <w:rPr>
                <w:rFonts w:eastAsia="Calibri"/>
                <w:bCs/>
                <w:sz w:val="22"/>
                <w:szCs w:val="22"/>
                <w:highlight w:val="none"/>
              </w:rPr>
            </w:r>
            <w:r>
              <w:rPr>
                <w:rFonts w:eastAsia="Calibri"/>
                <w:bCs/>
                <w:sz w:val="22"/>
                <w:szCs w:val="22"/>
                <w:highlight w:val="none"/>
              </w:rPr>
            </w:r>
          </w:p>
          <w:p>
            <w:pPr>
              <w:spacing w:before="60" w:after="60"/>
              <w:rPr>
                <w:sz w:val="22"/>
                <w:szCs w:val="22"/>
                <w:highlight w:val="none"/>
              </w:rPr>
              <w:outlineLvl w:val="2"/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3"/>
            <w:tcW w:w="8362" w:type="dxa"/>
            <w:vMerge w:val="restart"/>
            <w:textDirection w:val="lrTb"/>
            <w:noWrap w:val="false"/>
          </w:tcPr>
          <w:p>
            <w:pPr>
              <w:ind w:firstLine="430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  <w:t xml:space="preserve">К</w:t>
            </w:r>
            <w:r>
              <w:rPr>
                <w:iCs/>
                <w:sz w:val="22"/>
                <w:szCs w:val="22"/>
                <w:highlight w:val="none"/>
              </w:rPr>
              <w:t xml:space="preserve">онтроль по соблюдению требований охраны труда осуществляется Подрядчиком и Заказчиком. Заказчик обязуется назначить куратора и обеспечить допуск персонала подрядчика к месту проведения ремонтных работ.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430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  <w:t xml:space="preserve">Заказчик </w:t>
            </w:r>
            <w:r>
              <w:rPr>
                <w:iCs/>
                <w:sz w:val="22"/>
                <w:szCs w:val="22"/>
                <w:highlight w:val="none"/>
              </w:rPr>
              <w:t xml:space="preserve">о</w:t>
            </w:r>
            <w:r>
              <w:rPr>
                <w:iCs/>
                <w:sz w:val="22"/>
                <w:szCs w:val="22"/>
                <w:highlight w:val="none"/>
              </w:rPr>
              <w:t xml:space="preserve">знакомляет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430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  <w:t xml:space="preserve">Организация ремонтной площадки, участков работ и рабочих мест должна обеспечивать безопасность труда работающих на всех этапах выполнения строительно-монтажных работ. Для производства работ в охранной зоне необходимо получить наряд-</w:t>
            </w:r>
            <w:r>
              <w:rPr>
                <w:iCs/>
                <w:sz w:val="22"/>
                <w:szCs w:val="22"/>
                <w:highlight w:val="none"/>
              </w:rPr>
              <w:t xml:space="preserve">допуск.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283"/>
              <w:jc w:val="both"/>
              <w:widowControl w:val="off"/>
              <w:tabs>
                <w:tab w:val="left" w:pos="567" w:leader="none"/>
              </w:tabs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  <w:t xml:space="preserve"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102"/>
              </w:numPr>
              <w:ind w:left="142" w:right="0" w:firstLine="207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  <w:t xml:space="preserve">Правила</w:t>
            </w:r>
            <w:r>
              <w:rPr>
                <w:bCs/>
                <w:sz w:val="22"/>
                <w:szCs w:val="22"/>
                <w:highlight w:val="none"/>
              </w:rPr>
              <w:t xml:space="preserve"> по охране труда  при эксплуатации электроустановок, утвержденные Приказом Министерства труда и социальной защиты РФ от 15.12.2020 №903н;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102"/>
              </w:numPr>
              <w:ind w:left="142" w:right="0" w:firstLine="207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  <w:t xml:space="preserve">Правила по охране труда при работе на высоте (утверждены приказом Министерства труда от 16.11.2020 №782н)</w:t>
            </w:r>
            <w:r>
              <w:rPr>
                <w:iCs/>
                <w:sz w:val="22"/>
                <w:szCs w:val="22"/>
                <w:highlight w:val="none"/>
              </w:rPr>
              <w:t xml:space="preserve">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102"/>
              </w:numPr>
              <w:ind w:left="142" w:right="0" w:firstLine="207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  <w:t xml:space="preserve">Правила по охране труда при работе с инструментом и приспособлениями (утверждены приказом Министерства труда от 27.11.2020 № 835н);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102"/>
              </w:numPr>
              <w:ind w:left="142" w:right="0" w:firstLine="207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  <w:t xml:space="preserve">Правила по охране труда при размещении, монтаже, техническом обслуживании и ремонте технологического оборудования (утверждены приказом Министерства труда от 27.11.2020 №833н);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102"/>
              </w:numPr>
              <w:ind w:left="142" w:right="0" w:firstLine="207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  <w:t xml:space="preserve">Правила при погрузочно-разгрузочных работах и размещении грузов (утв. приказом Министерства труда и социальной защиты Российской Федерации от 28.10.2020г. №753н);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102"/>
              </w:numPr>
              <w:ind w:left="142" w:right="0" w:firstLine="207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  <w:t xml:space="preserve">Правила при эксплуатации промышленного транспорта (напольный безрельсовый колесный транспорт) (утв. приказом Министерства труда и социальной защиты Российской Федерации от 18.11.2020г. №814н);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102"/>
              </w:numPr>
              <w:ind w:left="142" w:right="0" w:firstLine="207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  <w:t xml:space="preserve">П</w:t>
            </w:r>
            <w:r>
              <w:rPr>
                <w:iCs/>
                <w:sz w:val="22"/>
                <w:szCs w:val="22"/>
                <w:highlight w:val="none"/>
              </w:rPr>
              <w:t xml:space="preserve">равила безопасности опасных производственных объектов, на которых используются подъемные сооружения (утв. приказом Федеральной службы по экологическому, технологическому и атомному надзору от 26.11.2020г. №461);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141"/>
              </w:numPr>
              <w:ind w:left="142" w:right="0" w:firstLine="207"/>
              <w:jc w:val="both"/>
              <w:rPr>
                <w:sz w:val="22"/>
                <w:szCs w:val="22"/>
                <w14:ligatures w14:val="none"/>
              </w:rPr>
            </w:pPr>
            <w:r>
              <w:rPr>
                <w:iCs/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  <w:t xml:space="preserve">ГОСТ 12.4.011-89 Система стандартов безопасности труда (ССБТ). Средства защиты работающих. Общие требования и классификация (утв. </w:t>
            </w:r>
            <w:r>
              <w:rPr>
                <w:sz w:val="22"/>
                <w:szCs w:val="22"/>
              </w:rPr>
              <w:t xml:space="preserve">постановлением Госст</w:t>
            </w:r>
            <w:r>
              <w:rPr>
                <w:sz w:val="22"/>
                <w:szCs w:val="22"/>
              </w:rPr>
              <w:t xml:space="preserve">андарта СССР от 27.10.1989 № 3222</w:t>
            </w:r>
            <w:r>
              <w:rPr>
                <w:sz w:val="22"/>
                <w:szCs w:val="22"/>
              </w:rPr>
              <w:t xml:space="preserve">).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  <w:p>
            <w:pPr>
              <w:pStyle w:val="1323"/>
              <w:numPr>
                <w:ilvl w:val="0"/>
                <w:numId w:val="141"/>
              </w:numPr>
              <w:ind w:left="142" w:right="0" w:firstLine="207"/>
              <w:jc w:val="both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ГОСТ 12.4.259-2024 (EN 13034:2005+А1:2009) Система стандартов безопасности труда (ССБТ). Одежда специальная для ограниченной защиты от жидких химических веществ [тип 6 и тип РВ (6)]. Эксплуатационные требования</w:t>
            </w:r>
            <w:r>
              <w:rPr>
                <w:sz w:val="22"/>
                <w:szCs w:val="22"/>
              </w:rPr>
              <w:t xml:space="preserve"> (утв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приказом Росстандарта от 01.10.2024 № 1352-ст</w:t>
            </w:r>
            <w:r>
              <w:rPr>
                <w:sz w:val="22"/>
                <w:szCs w:val="22"/>
              </w:rPr>
              <w:t xml:space="preserve">).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  <w:p>
            <w:pPr>
              <w:pStyle w:val="1323"/>
              <w:numPr>
                <w:ilvl w:val="0"/>
                <w:numId w:val="141"/>
              </w:numPr>
              <w:ind w:left="142" w:right="0" w:firstLine="207"/>
              <w:jc w:val="both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Инструкции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№ 14 по технике безопасности при выполнении антикоррозийных работ в условиях стройплощадки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ВСН 214-82/ММСС СССР «Сборник инструкций по защите от коррозии»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утв.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Минмонтажспецстроем СССР от 30.06.1982)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  <w:p>
            <w:pPr>
              <w:ind w:left="0" w:right="0" w:firstLine="709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При выполнении работ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left="0" w:right="0" w:firstLine="709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Все работники должны быть обеспечены спецодеждой, </w:t>
            </w:r>
            <w:r>
              <w:rPr>
                <w:sz w:val="22"/>
                <w:szCs w:val="22"/>
                <w:highlight w:val="none"/>
              </w:rPr>
              <w:t xml:space="preserve">спецобувью</w:t>
            </w:r>
            <w:r>
              <w:rPr>
                <w:sz w:val="22"/>
                <w:szCs w:val="22"/>
                <w:highlight w:val="none"/>
              </w:rPr>
              <w:t xml:space="preserve"> и другими </w:t>
            </w:r>
            <w:r>
              <w:rPr>
                <w:sz w:val="22"/>
                <w:szCs w:val="22"/>
                <w:highlight w:val="none"/>
              </w:rPr>
              <w:t xml:space="preserve">СИЗ</w:t>
            </w:r>
            <w:r>
              <w:rPr>
                <w:sz w:val="22"/>
                <w:szCs w:val="22"/>
                <w:highlight w:val="none"/>
              </w:rPr>
              <w:t xml:space="preserve"> в соответствии с типовыми отраслевыми нормами.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430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</w:r>
            <w:r>
              <w:rPr>
                <w:i/>
                <w:sz w:val="22"/>
                <w:szCs w:val="22"/>
                <w:highlight w:val="none"/>
              </w:rPr>
              <w:t xml:space="preserve"> </w:t>
            </w:r>
            <w:r>
              <w:rPr>
                <w:i/>
                <w:sz w:val="22"/>
                <w:szCs w:val="22"/>
                <w:highlight w:val="none"/>
              </w:rPr>
              <w:t xml:space="preserve">Более подробно требования указаны в проекте договора подряда (в том числе в разделе № 2), который включен в состав Документации о закупке)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1873" w:type="dxa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  <w:t xml:space="preserve">Согласие с требованием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i/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</w:r>
            <w:r>
              <w:rPr>
                <w:i/>
                <w:sz w:val="22"/>
                <w:szCs w:val="22"/>
                <w:highlight w:val="none"/>
              </w:rPr>
            </w:r>
            <w:r>
              <w:rPr>
                <w:i/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08" w:type="dxa"/>
            <w:textDirection w:val="lrTb"/>
            <w:noWrap w:val="false"/>
          </w:tcPr>
          <w:p>
            <w:pPr>
              <w:pStyle w:val="1323"/>
              <w:numPr>
                <w:ilvl w:val="0"/>
                <w:numId w:val="6"/>
              </w:numPr>
              <w:jc w:val="center"/>
              <w:spacing w:before="60" w:after="6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4"/>
            <w:tcW w:w="9893" w:type="dxa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  <w:highlight w:val="none"/>
              </w:rPr>
            </w:pPr>
            <w:r>
              <w:rPr>
                <w:b/>
                <w:bCs/>
                <w:sz w:val="22"/>
                <w:szCs w:val="22"/>
                <w:highlight w:val="none"/>
              </w:rPr>
              <w:t xml:space="preserve">Требования к результатам работ</w:t>
            </w: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</w:p>
        </w:tc>
        <w:tc>
          <w:tcPr>
            <w:tcW w:w="1873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none"/>
              </w:rPr>
            </w:pPr>
            <w:r>
              <w:rPr>
                <w:b/>
                <w:sz w:val="22"/>
                <w:szCs w:val="22"/>
                <w:highlight w:val="none"/>
              </w:rPr>
              <w:t xml:space="preserve">-//-</w:t>
            </w: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08" w:type="dxa"/>
            <w:textDirection w:val="lrTb"/>
            <w:noWrap w:val="false"/>
          </w:tcPr>
          <w:p>
            <w:pPr>
              <w:pStyle w:val="1323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4"/>
            <w:tcW w:w="9893" w:type="dxa"/>
            <w:textDirection w:val="lrTb"/>
            <w:noWrap w:val="false"/>
          </w:tcPr>
          <w:p>
            <w:pPr>
              <w:spacing w:before="60"/>
              <w:rPr>
                <w:b/>
                <w:sz w:val="22"/>
                <w:szCs w:val="22"/>
                <w:highlight w:val="none"/>
              </w:rPr>
            </w:pPr>
            <w:r>
              <w:rPr>
                <w:b/>
                <w:sz w:val="22"/>
                <w:szCs w:val="22"/>
                <w:highlight w:val="none"/>
              </w:rPr>
              <w:t xml:space="preserve">Общие требования к результатам работ</w:t>
            </w: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sz w:val="22"/>
                <w:szCs w:val="22"/>
                <w:highlight w:val="none"/>
              </w:rPr>
            </w:r>
          </w:p>
          <w:p>
            <w:pPr>
              <w:ind w:left="0" w:right="0" w:firstLine="0"/>
              <w:jc w:val="both"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        </w:t>
            </w:r>
            <w:r>
              <w:rPr>
                <w:bCs/>
                <w:sz w:val="24"/>
                <w:szCs w:val="24"/>
                <w:highlight w:val="none"/>
              </w:rPr>
              <w:t xml:space="preserve">Состояние антикоррозийной защиты оборудования, </w:t>
            </w:r>
            <w:r>
              <w:rPr>
                <w:rFonts w:ascii="Times New Roman" w:hAnsi="Times New Roman"/>
                <w:i w:val="0"/>
                <w:iCs w:val="0"/>
                <w:sz w:val="24"/>
                <w:szCs w:val="28"/>
                <w:highlight w:val="none"/>
              </w:rPr>
              <w:t xml:space="preserve">трубопроводов, кабелей, конструкций и сооружений</w:t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  <w:t xml:space="preserve"> Хабаровской ТЭЦ-1</w:t>
            </w:r>
            <w:r>
              <w:rPr>
                <w:bCs/>
                <w:sz w:val="24"/>
                <w:szCs w:val="24"/>
                <w:highlight w:val="none"/>
              </w:rPr>
              <w:t xml:space="preserve"> после ремонта должно соответствовать требованиям НТД</w:t>
            </w:r>
            <w:r>
              <w:rPr>
                <w:bCs/>
                <w:sz w:val="24"/>
                <w:szCs w:val="24"/>
                <w:highlight w:val="none"/>
              </w:rPr>
              <w:t xml:space="preserve"> в течение гарантийного срока</w:t>
            </w:r>
            <w:r>
              <w:rPr>
                <w:sz w:val="22"/>
                <w:szCs w:val="22"/>
                <w:highlight w:val="none"/>
              </w:rPr>
              <w:t xml:space="preserve">. 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</w:tc>
        <w:tc>
          <w:tcPr>
            <w:tcW w:w="1873" w:type="dxa"/>
            <w:textDirection w:val="lrTb"/>
            <w:noWrap w:val="false"/>
          </w:tcPr>
          <w:p>
            <w:pPr>
              <w:jc w:val="center"/>
              <w:rPr>
                <w:b/>
                <w:i/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  <w:t xml:space="preserve">Согласие с требованием</w:t>
            </w:r>
            <w:r>
              <w:rPr>
                <w:b/>
                <w:i/>
                <w:sz w:val="22"/>
                <w:szCs w:val="22"/>
                <w:highlight w:val="none"/>
              </w:rPr>
            </w:r>
            <w:r>
              <w:rPr>
                <w:b/>
                <w:i/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08" w:type="dxa"/>
            <w:textDirection w:val="lrTb"/>
            <w:noWrap w:val="false"/>
          </w:tcPr>
          <w:p>
            <w:pPr>
              <w:pStyle w:val="1323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4"/>
            <w:tcW w:w="9893" w:type="dxa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  <w:highlight w:val="none"/>
              </w:rPr>
            </w:pPr>
            <w:r>
              <w:rPr>
                <w:b/>
                <w:bCs/>
                <w:sz w:val="22"/>
                <w:szCs w:val="22"/>
                <w:highlight w:val="none"/>
              </w:rPr>
              <w:t xml:space="preserve">Требования к порядку приемки результатов работ</w:t>
            </w: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</w:p>
          <w:p>
            <w:pPr>
              <w:jc w:val="both"/>
              <w:rPr>
                <w:bCs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2"/>
                <w:szCs w:val="22"/>
                <w:highlight w:val="none"/>
              </w:rPr>
              <w:t xml:space="preserve">Подробно указаны в проекте договора подряда (в том числе в разделе № 4), который включен в состав</w:t>
            </w:r>
            <w:r>
              <w:rPr>
                <w:i/>
                <w:iCs/>
                <w:sz w:val="22"/>
                <w:szCs w:val="22"/>
                <w:highlight w:val="none"/>
              </w:rPr>
              <w:t xml:space="preserve"> </w:t>
            </w:r>
            <w:r>
              <w:rPr>
                <w:i/>
                <w:iCs/>
                <w:sz w:val="22"/>
                <w:szCs w:val="22"/>
                <w:highlight w:val="none"/>
              </w:rPr>
              <w:t xml:space="preserve">Документации о закупке.</w:t>
            </w:r>
            <w:r>
              <w:rPr>
                <w:rStyle w:val="1320"/>
                <w:bCs/>
                <w:i/>
                <w:iCs/>
                <w:sz w:val="22"/>
                <w:szCs w:val="22"/>
                <w:highlight w:val="none"/>
              </w:rPr>
              <w:t xml:space="preserve"> 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tcW w:w="1873" w:type="dxa"/>
            <w:textDirection w:val="lrTb"/>
            <w:noWrap w:val="false"/>
          </w:tcPr>
          <w:p>
            <w:pPr>
              <w:jc w:val="center"/>
              <w:rPr>
                <w:b/>
                <w:i/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  <w:t xml:space="preserve">Согласие с требованием</w:t>
            </w:r>
            <w:r>
              <w:rPr>
                <w:b/>
                <w:i/>
                <w:sz w:val="22"/>
                <w:szCs w:val="22"/>
                <w:highlight w:val="none"/>
              </w:rPr>
            </w:r>
            <w:r>
              <w:rPr>
                <w:b/>
                <w:i/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08" w:type="dxa"/>
            <w:textDirection w:val="lrTb"/>
            <w:noWrap w:val="false"/>
          </w:tcPr>
          <w:p>
            <w:pPr>
              <w:pStyle w:val="1323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4"/>
            <w:tcW w:w="9893" w:type="dxa"/>
            <w:textDirection w:val="lrTb"/>
            <w:noWrap w:val="false"/>
          </w:tcPr>
          <w:p>
            <w:pPr>
              <w:spacing w:before="60"/>
              <w:rPr>
                <w:b/>
                <w:sz w:val="22"/>
                <w:szCs w:val="22"/>
                <w:highlight w:val="none"/>
              </w:rPr>
            </w:pPr>
            <w:r>
              <w:rPr>
                <w:b/>
                <w:sz w:val="22"/>
                <w:szCs w:val="22"/>
                <w:highlight w:val="none"/>
              </w:rPr>
              <w:t xml:space="preserve">Требования к оформлению документации</w:t>
            </w: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sz w:val="22"/>
                <w:szCs w:val="22"/>
                <w:highlight w:val="none"/>
              </w:rPr>
            </w:r>
          </w:p>
        </w:tc>
        <w:tc>
          <w:tcPr>
            <w:tcW w:w="187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b/>
                <w:sz w:val="22"/>
                <w:szCs w:val="22"/>
                <w:highlight w:val="none"/>
              </w:rPr>
              <w:t xml:space="preserve">-//-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08" w:type="dxa"/>
            <w:vMerge w:val="restart"/>
            <w:textDirection w:val="lrTb"/>
            <w:noWrap w:val="false"/>
          </w:tcPr>
          <w:p>
            <w:pPr>
              <w:pStyle w:val="1323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</w:tc>
        <w:tc>
          <w:tcPr>
            <w:tcW w:w="1531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eastAsia="Calibri"/>
                <w:sz w:val="22"/>
                <w:szCs w:val="22"/>
                <w:highlight w:val="none"/>
              </w:rPr>
              <w:outlineLvl w:val="2"/>
            </w:pPr>
            <w:r>
              <w:rPr>
                <w:sz w:val="22"/>
                <w:szCs w:val="22"/>
                <w:highlight w:val="none"/>
              </w:rPr>
            </w:r>
            <w:bookmarkStart w:id="0" w:name="undefined"/>
            <w:r>
              <w:rPr>
                <w:sz w:val="22"/>
                <w:szCs w:val="22"/>
                <w:highlight w:val="none"/>
              </w:rPr>
            </w:r>
            <w:bookmarkStart w:id="0" w:name="undefined"/>
            <w:r>
              <w:rPr>
                <w:rFonts w:eastAsia="Calibri"/>
                <w:i/>
                <w:sz w:val="22"/>
                <w:szCs w:val="22"/>
                <w:highlight w:val="none"/>
              </w:rPr>
              <w:t xml:space="preserve">Общие требования к оформлению документации</w:t>
            </w:r>
            <w:bookmarkEnd w:id="0"/>
            <w:r>
              <w:rPr>
                <w:rFonts w:eastAsia="Calibri"/>
                <w:sz w:val="22"/>
                <w:szCs w:val="22"/>
                <w:highlight w:val="none"/>
              </w:rPr>
            </w:r>
            <w:r>
              <w:rPr>
                <w:rFonts w:eastAsia="Calibri"/>
                <w:sz w:val="22"/>
                <w:szCs w:val="22"/>
                <w:highlight w:val="none"/>
              </w:rPr>
            </w:r>
          </w:p>
        </w:tc>
        <w:tc>
          <w:tcPr>
            <w:gridSpan w:val="3"/>
            <w:tcW w:w="8362" w:type="dxa"/>
            <w:vMerge w:val="restart"/>
            <w:textDirection w:val="lrTb"/>
            <w:noWrap w:val="false"/>
          </w:tcPr>
          <w:p>
            <w:pPr>
              <w:ind w:left="27" w:right="0" w:firstLine="398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  <w:t xml:space="preserve">П</w:t>
            </w:r>
            <w:r>
              <w:rPr>
                <w:iCs/>
                <w:sz w:val="22"/>
                <w:szCs w:val="22"/>
                <w:highlight w:val="none"/>
              </w:rPr>
              <w:t xml:space="preserve">одрядчик </w:t>
            </w:r>
            <w:r>
              <w:rPr>
                <w:iCs/>
                <w:sz w:val="22"/>
                <w:szCs w:val="22"/>
                <w:highlight w:val="none"/>
              </w:rPr>
              <w:t xml:space="preserve">п</w:t>
            </w:r>
            <w:r>
              <w:rPr>
                <w:iCs/>
                <w:sz w:val="22"/>
                <w:szCs w:val="22"/>
                <w:highlight w:val="none"/>
              </w:rPr>
              <w:t xml:space="preserve">редставляет</w:t>
            </w:r>
            <w:r>
              <w:rPr>
                <w:iCs/>
                <w:sz w:val="22"/>
                <w:szCs w:val="22"/>
                <w:highlight w:val="none"/>
              </w:rPr>
              <w:t xml:space="preserve"> Заказчику электронные версии Акта </w:t>
            </w:r>
            <w:r>
              <w:rPr>
                <w:iCs/>
                <w:sz w:val="22"/>
                <w:szCs w:val="22"/>
                <w:highlight w:val="none"/>
              </w:rPr>
              <w:br/>
              <w:t xml:space="preserve">КС-2 и Справки КС-3 на цифровом носителе в формате *gsfx ПК «ГРАНД Сметы», в формате *.pdf) и на бумажном носителе в 3-х экземплярах, исполнитель</w:t>
            </w:r>
            <w:r>
              <w:rPr>
                <w:iCs/>
                <w:sz w:val="22"/>
                <w:szCs w:val="22"/>
                <w:highlight w:val="none"/>
              </w:rPr>
              <w:t xml:space="preserve">ную документацию в электронном виде (в формате *.pdf) и на бумажном носителе в 3-х экземплярах.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left="27" w:right="0" w:firstLine="398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  <w:t xml:space="preserve"> Исполнительная документация должна быть оформлена в соответствии с: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103"/>
              </w:numPr>
              <w:ind w:left="0" w:right="0" w:firstLine="425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iCs/>
                <w:sz w:val="22"/>
                <w:szCs w:val="22"/>
                <w:highlight w:val="none"/>
              </w:rPr>
              <w:t xml:space="preserve">Положением 21-003-2019 «Об организации контроля и приемке выполненных работ на ремонтируемых объектах,</w:t>
            </w:r>
            <w:r>
              <w:rPr>
                <w:iCs/>
                <w:sz w:val="22"/>
                <w:szCs w:val="22"/>
                <w:highlight w:val="none"/>
              </w:rPr>
              <w:t xml:space="preserve"> </w:t>
            </w:r>
            <w:r>
              <w:rPr>
                <w:iCs/>
                <w:sz w:val="22"/>
                <w:szCs w:val="22"/>
                <w:highlight w:val="none"/>
              </w:rPr>
              <w:t xml:space="preserve">объектах модернизации, реконструкции и технического перевооружения.», утвержденным приказом № 555 от 29.11.2019 г. АО</w:t>
            </w:r>
            <w:r>
              <w:rPr>
                <w:iCs/>
                <w:sz w:val="22"/>
                <w:szCs w:val="22"/>
                <w:highlight w:val="none"/>
              </w:rPr>
              <w:t xml:space="preserve"> </w:t>
            </w:r>
            <w:r>
              <w:rPr>
                <w:iCs/>
                <w:sz w:val="22"/>
                <w:szCs w:val="22"/>
                <w:highlight w:val="none"/>
              </w:rPr>
              <w:t xml:space="preserve">«ДГК» (Приложение №4 к настоящим ТТ):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103"/>
              </w:numPr>
              <w:ind w:left="0" w:right="0" w:firstLine="425"/>
              <w:jc w:val="both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Приказом Минстроя России от 16.05.2023 №344/пр </w:t>
            </w:r>
            <w:r>
              <w:rPr>
                <w:sz w:val="22"/>
                <w:szCs w:val="22"/>
                <w:highlight w:val="none"/>
              </w:rPr>
              <w:t xml:space="preserve">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</w:t>
            </w:r>
            <w:r>
              <w:rPr>
                <w:sz w:val="22"/>
                <w:szCs w:val="22"/>
                <w:highlight w:val="none"/>
              </w:rPr>
              <w:t xml:space="preserve">.</w:t>
            </w:r>
            <w:r>
              <w:rPr>
                <w:bCs/>
                <w:i/>
                <w:sz w:val="22"/>
                <w:szCs w:val="22"/>
                <w:highlight w:val="none"/>
              </w:rPr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</w:tc>
        <w:tc>
          <w:tcPr>
            <w:tcW w:w="1873" w:type="dxa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</w:r>
            <w:r>
              <w:rPr>
                <w:i/>
                <w:sz w:val="22"/>
                <w:szCs w:val="22"/>
                <w:highlight w:val="none"/>
              </w:rPr>
              <w:t xml:space="preserve">Согласие с требованием</w:t>
            </w:r>
            <w:r>
              <w:rPr>
                <w:i/>
                <w:sz w:val="22"/>
                <w:szCs w:val="22"/>
                <w:highlight w:val="none"/>
              </w:rPr>
            </w:r>
            <w:r>
              <w:rPr>
                <w:i/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08" w:type="dxa"/>
            <w:vMerge w:val="restart"/>
            <w:textDirection w:val="lrTb"/>
            <w:noWrap w:val="false"/>
          </w:tcPr>
          <w:p>
            <w:pPr>
              <w:pStyle w:val="1323"/>
              <w:numPr>
                <w:ilvl w:val="2"/>
                <w:numId w:val="6"/>
              </w:numPr>
              <w:ind w:hanging="1199"/>
              <w:jc w:val="center"/>
              <w:spacing w:before="60" w:after="6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1531" w:type="dxa"/>
            <w:vMerge w:val="restart"/>
            <w:textDirection w:val="lrTb"/>
            <w:noWrap w:val="false"/>
          </w:tcPr>
          <w:p>
            <w:pPr>
              <w:rPr>
                <w:bCs/>
                <w:sz w:val="22"/>
                <w:szCs w:val="22"/>
                <w:highlight w:val="none"/>
              </w:rPr>
            </w:pPr>
            <w:r>
              <w:rPr>
                <w:rFonts w:eastAsia="Calibri"/>
                <w:i/>
                <w:sz w:val="22"/>
                <w:szCs w:val="22"/>
                <w:highlight w:val="none"/>
              </w:rPr>
              <w:t xml:space="preserve">Состав документации включает в себя, но не ограничивается следующими документами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gridSpan w:val="3"/>
            <w:tcW w:w="8362" w:type="dxa"/>
            <w:vMerge w:val="restart"/>
            <w:textDirection w:val="lrTb"/>
            <w:noWrap w:val="false"/>
          </w:tcPr>
          <w:p>
            <w:pPr>
              <w:pStyle w:val="1323"/>
              <w:numPr>
                <w:ilvl w:val="0"/>
                <w:numId w:val="163"/>
              </w:numPr>
              <w:ind w:left="0" w:right="0" w:firstLine="425"/>
              <w:jc w:val="both"/>
            </w:pPr>
            <w:r>
              <w:rPr>
                <w:sz w:val="22"/>
                <w:szCs w:val="22"/>
                <w:highlight w:val="white"/>
              </w:rPr>
              <w:t xml:space="preserve">табель учета рабочего времени Подрядчика;</w:t>
            </w:r>
            <w:r/>
          </w:p>
          <w:p>
            <w:pPr>
              <w:pStyle w:val="1323"/>
              <w:numPr>
                <w:ilvl w:val="0"/>
                <w:numId w:val="163"/>
              </w:numPr>
              <w:ind w:left="0" w:right="0" w:firstLine="425"/>
              <w:jc w:val="both"/>
            </w:pPr>
            <w:r>
              <w:rPr>
                <w:sz w:val="22"/>
                <w:szCs w:val="22"/>
                <w:highlight w:val="white"/>
              </w:rPr>
              <w:t xml:space="preserve">ведомость планируемых работ;</w:t>
            </w:r>
            <w:r/>
          </w:p>
          <w:p>
            <w:pPr>
              <w:pStyle w:val="1323"/>
              <w:numPr>
                <w:ilvl w:val="0"/>
                <w:numId w:val="163"/>
              </w:numPr>
              <w:ind w:left="0" w:right="0" w:firstLine="425"/>
              <w:jc w:val="both"/>
            </w:pPr>
            <w:r>
              <w:rPr>
                <w:sz w:val="22"/>
                <w:szCs w:val="22"/>
                <w:highlight w:val="white"/>
              </w:rPr>
              <w:t xml:space="preserve">ведомость дефектов;</w:t>
            </w:r>
            <w:r/>
          </w:p>
          <w:p>
            <w:pPr>
              <w:pStyle w:val="1323"/>
              <w:numPr>
                <w:ilvl w:val="0"/>
                <w:numId w:val="163"/>
              </w:numPr>
              <w:ind w:left="0" w:right="0" w:firstLine="425"/>
              <w:jc w:val="both"/>
            </w:pPr>
            <w:r>
              <w:rPr>
                <w:sz w:val="22"/>
                <w:szCs w:val="22"/>
                <w:highlight w:val="white"/>
              </w:rPr>
              <w:t xml:space="preserve">акт освидетельствования скрытых работ;</w:t>
            </w:r>
            <w:r/>
          </w:p>
          <w:p>
            <w:pPr>
              <w:pStyle w:val="1323"/>
              <w:numPr>
                <w:ilvl w:val="0"/>
                <w:numId w:val="163"/>
              </w:numPr>
              <w:ind w:left="0" w:right="0" w:firstLine="425"/>
              <w:jc w:val="both"/>
            </w:pPr>
            <w:r>
              <w:rPr>
                <w:sz w:val="22"/>
                <w:szCs w:val="22"/>
                <w:highlight w:val="white"/>
              </w:rPr>
              <w:t xml:space="preserve">протоколы испытаний на адгезию;</w:t>
            </w:r>
            <w:r/>
          </w:p>
          <w:p>
            <w:pPr>
              <w:pStyle w:val="1323"/>
              <w:numPr>
                <w:ilvl w:val="0"/>
                <w:numId w:val="163"/>
              </w:numPr>
              <w:ind w:left="0" w:right="0" w:firstLine="425"/>
              <w:jc w:val="both"/>
              <w:rPr>
                <w:sz w:val="22"/>
                <w:szCs w:val="22"/>
                <w:highlight w:val="whit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  <w:t xml:space="preserve">акты замера толщины АКЗ; </w:t>
            </w:r>
            <w:r>
              <w:rPr>
                <w:sz w:val="22"/>
                <w:szCs w:val="22"/>
                <w:highlight w:val="white"/>
                <w14:ligatures w14:val="none"/>
              </w:rPr>
            </w:r>
            <w:r>
              <w:rPr>
                <w:sz w:val="22"/>
                <w:szCs w:val="22"/>
                <w:highlight w:val="white"/>
                <w14:ligatures w14:val="none"/>
              </w:rPr>
            </w:r>
          </w:p>
          <w:p>
            <w:pPr>
              <w:pStyle w:val="1323"/>
              <w:numPr>
                <w:ilvl w:val="0"/>
                <w:numId w:val="163"/>
              </w:numPr>
              <w:ind w:left="0" w:right="0" w:firstLine="425"/>
              <w:jc w:val="both"/>
            </w:pPr>
            <w:r>
              <w:rPr>
                <w:sz w:val="22"/>
                <w:szCs w:val="22"/>
                <w:highlight w:val="white"/>
              </w:rPr>
              <w:t xml:space="preserve">акт на приемку из ремонта;</w:t>
            </w:r>
            <w:r/>
          </w:p>
          <w:p>
            <w:pPr>
              <w:pStyle w:val="1323"/>
              <w:numPr>
                <w:ilvl w:val="0"/>
                <w:numId w:val="163"/>
              </w:numPr>
              <w:ind w:left="0" w:right="0" w:firstLine="425"/>
              <w:jc w:val="both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исполнительные чертежи, схемы;</w:t>
            </w:r>
            <w:r/>
          </w:p>
          <w:p>
            <w:pPr>
              <w:pStyle w:val="1323"/>
              <w:numPr>
                <w:ilvl w:val="0"/>
                <w:numId w:val="163"/>
              </w:numPr>
              <w:ind w:left="0" w:right="0" w:firstLine="425"/>
              <w:jc w:val="both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комиссионные акты входного контроля закупаемых </w:t>
            </w:r>
            <w:r>
              <w:rPr>
                <w:sz w:val="22"/>
                <w:szCs w:val="22"/>
                <w:highlight w:val="white"/>
              </w:rPr>
              <w:t xml:space="preserve">Подрядчиком материалов (в произвольной форме) на соответствие продукции требованиям технической документации; </w:t>
            </w:r>
            <w:r/>
          </w:p>
          <w:p>
            <w:pPr>
              <w:pStyle w:val="1323"/>
              <w:numPr>
                <w:ilvl w:val="0"/>
                <w:numId w:val="163"/>
              </w:numPr>
              <w:ind w:left="0" w:right="0" w:firstLine="425"/>
              <w:jc w:val="both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сертификаты, подтверждающие качество и соответствие требованиям конструкторской и нормативно-технической документации материалов (форма завода – изготовителя);</w:t>
            </w:r>
            <w:r/>
          </w:p>
          <w:p>
            <w:pPr>
              <w:pStyle w:val="1323"/>
              <w:numPr>
                <w:ilvl w:val="0"/>
                <w:numId w:val="163"/>
              </w:numPr>
              <w:ind w:left="0" w:right="0" w:firstLine="425"/>
              <w:jc w:val="both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счета-фактуры на материалы, закупаемые Подрядчиком для использования в процессе ремонта;</w:t>
            </w:r>
            <w:r/>
          </w:p>
          <w:p>
            <w:pPr>
              <w:pStyle w:val="1323"/>
              <w:numPr>
                <w:ilvl w:val="0"/>
                <w:numId w:val="163"/>
              </w:numPr>
              <w:ind w:left="0" w:right="0" w:firstLine="425"/>
              <w:jc w:val="both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журнал производства антикоррозийных р,абот;</w:t>
            </w:r>
            <w:r/>
          </w:p>
          <w:p>
            <w:pPr>
              <w:pStyle w:val="1323"/>
              <w:numPr>
                <w:ilvl w:val="0"/>
                <w:numId w:val="163"/>
              </w:numPr>
              <w:ind w:left="0" w:right="0" w:firstLine="425"/>
              <w:jc w:val="both"/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фото/видео материалы (при необходимости)</w:t>
            </w:r>
            <w:r>
              <w:rPr>
                <w:sz w:val="22"/>
                <w:szCs w:val="22"/>
                <w:highlight w:val="white"/>
              </w:rPr>
              <w:t xml:space="preserve">.</w:t>
            </w:r>
            <w:r/>
          </w:p>
          <w:p>
            <w:pPr>
              <w:pStyle w:val="1323"/>
              <w:numPr>
                <w:ilvl w:val="0"/>
                <w:numId w:val="164"/>
              </w:numPr>
              <w:ind w:left="0" w:right="0" w:firstLine="425"/>
              <w:jc w:val="both"/>
              <w:rPr>
                <w:highlight w:val="white"/>
              </w:rPr>
              <w:pBdr>
                <w:between w:val="none" w:color="000000" w:sz="0" w:space="0"/>
              </w:pBdr>
            </w:pPr>
            <w:r>
              <w:rPr>
                <w:sz w:val="24"/>
                <w:szCs w:val="24"/>
                <w:highlight w:val="none"/>
              </w:rPr>
              <w:t xml:space="preserve">д</w:t>
            </w:r>
            <w:r>
              <w:rPr>
                <w:sz w:val="24"/>
                <w:szCs w:val="24"/>
                <w:highlight w:val="white"/>
              </w:rPr>
              <w:t xml:space="preserve">ругие документы по </w:t>
            </w:r>
            <w:r>
              <w:rPr>
                <w:sz w:val="24"/>
                <w:szCs w:val="24"/>
                <w:highlight w:val="white"/>
              </w:rPr>
              <w:t xml:space="preserve">усмотрению </w:t>
            </w:r>
            <w:r>
              <w:rPr>
                <w:sz w:val="24"/>
                <w:szCs w:val="24"/>
                <w:highlight w:val="white"/>
              </w:rPr>
              <w:t xml:space="preserve">Сторон с учетом специфики Работ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23"/>
              <w:ind w:left="0" w:right="0" w:firstLine="283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  <w:t xml:space="preserve">Исполнительная документация должна обеспечивать достоверность и полноту сведений о фактически выполн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  <w:t xml:space="preserve">енных Работах.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left="0" w:firstLine="0"/>
              <w:jc w:val="both"/>
              <w:tabs>
                <w:tab w:val="left" w:pos="567" w:leader="none"/>
              </w:tabs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        </w:t>
            </w:r>
            <w:r>
              <w:rPr>
                <w:i/>
                <w:iCs/>
                <w:sz w:val="22"/>
                <w:szCs w:val="22"/>
                <w:highlight w:val="none"/>
              </w:rPr>
              <w:t xml:space="preserve">Более подробно требования к оформлению документации  указаны в проекте договора подряда (в том числе в разделах №2,4), который включен в состав Документации о закупке.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1873" w:type="dxa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</w:r>
            <w:r>
              <w:rPr>
                <w:i/>
                <w:sz w:val="22"/>
                <w:szCs w:val="22"/>
                <w:highlight w:val="none"/>
              </w:rPr>
              <w:t xml:space="preserve">Согласие с требованием</w:t>
            </w:r>
            <w:r>
              <w:rPr>
                <w:i/>
                <w:sz w:val="22"/>
                <w:szCs w:val="22"/>
                <w:highlight w:val="none"/>
              </w:rPr>
            </w:r>
            <w:r>
              <w:rPr>
                <w:i/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08" w:type="dxa"/>
            <w:textDirection w:val="lrTb"/>
            <w:noWrap w:val="false"/>
          </w:tcPr>
          <w:p>
            <w:pPr>
              <w:pStyle w:val="1323"/>
              <w:numPr>
                <w:ilvl w:val="0"/>
                <w:numId w:val="6"/>
              </w:numPr>
              <w:jc w:val="center"/>
              <w:spacing w:before="60" w:after="6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4"/>
            <w:tcW w:w="9893" w:type="dxa"/>
            <w:textDirection w:val="lrTb"/>
            <w:noWrap w:val="false"/>
          </w:tcPr>
          <w:p>
            <w:pPr>
              <w:spacing w:before="40"/>
              <w:rPr>
                <w:b/>
                <w:sz w:val="22"/>
                <w:szCs w:val="22"/>
                <w:highlight w:val="none"/>
              </w:rPr>
            </w:pPr>
            <w:r>
              <w:rPr>
                <w:b/>
                <w:sz w:val="22"/>
                <w:szCs w:val="22"/>
                <w:highlight w:val="none"/>
              </w:rPr>
              <w:t xml:space="preserve">Т</w:t>
            </w:r>
            <w:r>
              <w:rPr>
                <w:b/>
                <w:sz w:val="22"/>
                <w:szCs w:val="22"/>
                <w:highlight w:val="none"/>
              </w:rPr>
              <w:t xml:space="preserve">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</w:t>
            </w:r>
            <w:r>
              <w:rPr>
                <w:b/>
                <w:sz w:val="22"/>
                <w:szCs w:val="22"/>
                <w:highlight w:val="none"/>
              </w:rPr>
              <w:t xml:space="preserve">ТТ</w:t>
            </w:r>
            <w:r>
              <w:rPr>
                <w:b/>
                <w:sz w:val="22"/>
                <w:szCs w:val="22"/>
                <w:highlight w:val="none"/>
              </w:rPr>
              <w:t xml:space="preserve">)</w:t>
            </w: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104"/>
              </w:numPr>
              <w:ind w:left="0" w:firstLine="426"/>
              <w:jc w:val="both"/>
              <w:spacing w:before="0" w:after="0"/>
              <w:widowControl/>
              <w:rPr>
                <w:sz w:val="22"/>
                <w:szCs w:val="22"/>
                <w:highlight w:val="none"/>
              </w:rPr>
            </w:pPr>
            <w:r>
              <w:rPr>
                <w:bCs/>
                <w:iCs/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Перечень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30 декабря 2009 г. № 384-ФЗ "Технический регламент о безопасности зданий и сооружений" (утв. </w:t>
            </w:r>
            <w:r>
              <w:rPr>
                <w:sz w:val="22"/>
                <w:szCs w:val="22"/>
                <w:highlight w:val="none"/>
              </w:rPr>
              <w:t xml:space="preserve">приказом Федерального агентства по техническому регулированию и метрологии от 02.04.2020 № 687)</w:t>
            </w:r>
            <w:r>
              <w:rPr>
                <w:bCs/>
                <w:iCs/>
                <w:sz w:val="22"/>
                <w:szCs w:val="22"/>
                <w:highlight w:val="none"/>
              </w:rPr>
              <w:t xml:space="preserve">;</w:t>
            </w:r>
            <w:r>
              <w:rPr>
                <w:bCs/>
                <w:iCs/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104"/>
              </w:numPr>
              <w:ind w:left="0" w:firstLine="426"/>
              <w:jc w:val="both"/>
              <w:spacing w:before="0" w:after="0"/>
              <w:widowControl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При возникновении необходимости проведен</w:t>
            </w:r>
            <w:r>
              <w:rPr>
                <w:sz w:val="22"/>
                <w:szCs w:val="22"/>
                <w:highlight w:val="none"/>
              </w:rPr>
              <w:t xml:space="preserve">ия аварийно-</w:t>
            </w:r>
            <w:r>
              <w:rPr>
                <w:sz w:val="22"/>
                <w:szCs w:val="22"/>
                <w:highlight w:val="none"/>
              </w:rPr>
              <w:t xml:space="preserve">восстановительных работ, порядок взаимодействия Заказчика и Подрядчика определяется в соответствии с Положением АО «ДГК» 21-004-2017 «по формированию и управлению работой аварийных бригад при выполнении аварийных работ на оборудовании СП филиалов АО «ДГК» </w:t>
            </w:r>
            <w:r>
              <w:rPr>
                <w:sz w:val="22"/>
                <w:szCs w:val="22"/>
                <w:highlight w:val="none"/>
              </w:rPr>
              <w:t xml:space="preserve">(Приложение №4 к настоящим ТТ)</w:t>
            </w:r>
            <w:r>
              <w:rPr>
                <w:sz w:val="22"/>
                <w:szCs w:val="22"/>
                <w:highlight w:val="none"/>
              </w:rPr>
              <w:t xml:space="preserve">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1873" w:type="dxa"/>
            <w:textDirection w:val="lrTb"/>
            <w:noWrap w:val="false"/>
          </w:tcPr>
          <w:p>
            <w:pPr>
              <w:jc w:val="center"/>
              <w:rPr>
                <w:b/>
                <w:i/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  <w:t xml:space="preserve">Согласие с требованием</w:t>
            </w:r>
            <w:r>
              <w:rPr>
                <w:b/>
                <w:i/>
                <w:sz w:val="22"/>
                <w:szCs w:val="22"/>
                <w:highlight w:val="none"/>
              </w:rPr>
            </w:r>
            <w:r>
              <w:rPr>
                <w:b/>
                <w:i/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08" w:type="dxa"/>
            <w:textDirection w:val="lrTb"/>
            <w:noWrap w:val="false"/>
          </w:tcPr>
          <w:p>
            <w:pPr>
              <w:pStyle w:val="1323"/>
              <w:numPr>
                <w:ilvl w:val="0"/>
                <w:numId w:val="6"/>
              </w:numPr>
              <w:jc w:val="center"/>
              <w:spacing w:before="60" w:after="6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4"/>
            <w:tcW w:w="9893" w:type="dxa"/>
            <w:textDirection w:val="lrTb"/>
            <w:noWrap w:val="false"/>
          </w:tcPr>
          <w:p>
            <w:pPr>
              <w:jc w:val="both"/>
              <w:spacing w:before="20"/>
              <w:rPr>
                <w:b/>
                <w:sz w:val="22"/>
                <w:szCs w:val="22"/>
                <w:highlight w:val="none"/>
              </w:rPr>
            </w:pPr>
            <w:r>
              <w:rPr>
                <w:b/>
                <w:sz w:val="22"/>
                <w:szCs w:val="22"/>
                <w:highlight w:val="none"/>
              </w:rPr>
              <w:t xml:space="preserve">Требования к ответственности и гарантиям подрядчика</w:t>
            </w: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sz w:val="22"/>
                <w:szCs w:val="22"/>
                <w:highlight w:val="none"/>
              </w:rPr>
            </w:r>
          </w:p>
        </w:tc>
        <w:tc>
          <w:tcPr>
            <w:tcW w:w="187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b/>
                <w:sz w:val="22"/>
                <w:szCs w:val="22"/>
                <w:highlight w:val="none"/>
              </w:rPr>
              <w:t xml:space="preserve">-//-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42"/>
        </w:trPr>
        <w:tc>
          <w:tcPr>
            <w:tcW w:w="708" w:type="dxa"/>
            <w:textDirection w:val="lrTb"/>
            <w:noWrap w:val="false"/>
          </w:tcPr>
          <w:p>
            <w:pPr>
              <w:pStyle w:val="1323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4"/>
            <w:tcW w:w="9893" w:type="dxa"/>
            <w:textDirection w:val="lrTb"/>
            <w:noWrap w:val="false"/>
          </w:tcPr>
          <w:p>
            <w:pPr>
              <w:pStyle w:val="1323"/>
              <w:ind w:left="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  <w:lang w:bidi="ru-RU"/>
              </w:rPr>
              <w:t xml:space="preserve">Подробно требования к </w:t>
            </w:r>
            <w:r>
              <w:rPr>
                <w:sz w:val="22"/>
                <w:szCs w:val="22"/>
                <w:highlight w:val="none"/>
              </w:rPr>
              <w:t xml:space="preserve">ответственности подрядчика </w:t>
            </w:r>
            <w:r>
              <w:rPr>
                <w:sz w:val="22"/>
                <w:szCs w:val="22"/>
                <w:highlight w:val="none"/>
                <w:lang w:bidi="ru-RU"/>
              </w:rPr>
              <w:t xml:space="preserve">указаны в проекте договора подряда </w:t>
            </w:r>
            <w:r>
              <w:rPr>
                <w:iCs/>
                <w:sz w:val="22"/>
                <w:szCs w:val="22"/>
                <w:highlight w:val="none"/>
                <w:lang w:bidi="ru-RU"/>
              </w:rPr>
              <w:t xml:space="preserve">(в том числе в разделе №6</w:t>
            </w:r>
            <w:r>
              <w:rPr>
                <w:sz w:val="22"/>
                <w:szCs w:val="22"/>
                <w:highlight w:val="none"/>
                <w:lang w:bidi="ru-RU"/>
              </w:rPr>
              <w:t xml:space="preserve">), который включен в состав Документации о закупке.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187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  <w:t xml:space="preserve">Согласие с требованием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96"/>
        </w:trPr>
        <w:tc>
          <w:tcPr>
            <w:tcW w:w="708" w:type="dxa"/>
            <w:textDirection w:val="lrTb"/>
            <w:noWrap w:val="false"/>
          </w:tcPr>
          <w:p>
            <w:pPr>
              <w:pStyle w:val="1323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4"/>
            <w:tcW w:w="9893" w:type="dxa"/>
            <w:textDirection w:val="lrTb"/>
            <w:noWrap w:val="false"/>
          </w:tcPr>
          <w:p>
            <w:pPr>
              <w:keepNext/>
              <w:spacing w:before="60" w:after="6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Подробно требования к сроку и объему предоставления гарантий указаны в проекте договора подряда (в том числе в разделе  №7), который включен в состав Документации о закупке.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187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highlight w:val="none"/>
              </w:rPr>
              <w:t xml:space="preserve">Согласие с требованием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708" w:type="dxa"/>
            <w:vMerge w:val="restart"/>
            <w:textDirection w:val="lrTb"/>
            <w:noWrap w:val="false"/>
          </w:tcPr>
          <w:p>
            <w:pPr>
              <w:pStyle w:val="1323"/>
              <w:numPr>
                <w:ilvl w:val="0"/>
                <w:numId w:val="6"/>
              </w:numPr>
              <w:jc w:val="center"/>
              <w:spacing w:before="60" w:after="6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6"/>
            <w:tcW w:w="14176" w:type="dxa"/>
            <w:vMerge w:val="restart"/>
            <w:textDirection w:val="lrTb"/>
            <w:noWrap w:val="false"/>
          </w:tcPr>
          <w:p>
            <w:pPr>
              <w:jc w:val="both"/>
              <w:keepNext/>
              <w:spacing w:before="60" w:after="60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highlight w:val="none"/>
                <w:u w:val="none"/>
              </w:rPr>
              <w:t xml:space="preserve">Требования к Победителю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highlight w:val="none"/>
                <w:u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highlight w:val="none"/>
                <w:u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     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Участник, признанный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  <w:t xml:space="preserve">победителем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 закупочной процедуры, в течение 5 (пяти) рабочих дней после размещения протокола подведения итогов закупки на сайте </w:t>
            </w:r>
            <w:hyperlink r:id="rId15" w:tooltip="http://www.zakupki.gov.ru" w:history="1">
              <w:r>
                <w:rPr>
                  <w:rStyle w:val="1311"/>
                  <w:rFonts w:ascii="Times New Roman" w:hAnsi="Times New Roman" w:eastAsia="Times New Roman" w:cs="Times New Roman"/>
                  <w:sz w:val="22"/>
                  <w:szCs w:val="22"/>
                  <w:highlight w:val="none"/>
                </w:rPr>
                <w:t xml:space="preserve">www.zakupki.gov.ru</w:t>
              </w:r>
            </w:hyperlink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 (до заключения договора), должен предоставить в адрес Заказчика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на электронный адрес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kolomin-os@dgk.ru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 дополнительные документы.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pStyle w:val="1323"/>
              <w:ind w:left="0"/>
              <w:jc w:val="both"/>
              <w:shd w:val="clear" w:color="auto" w:fill="ffffff"/>
              <w:tabs>
                <w:tab w:val="left" w:pos="284" w:leader="none"/>
              </w:tabs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     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В случае не предоставления документов, указанных в данном пункте Технических требований в установленный срок, в соответствии с условиями Документации о закупке, Победитель призн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W w:w="708" w:type="dxa"/>
            <w:vMerge w:val="restart"/>
            <w:textDirection w:val="lrTb"/>
            <w:noWrap w:val="false"/>
          </w:tcPr>
          <w:p>
            <w:pPr>
              <w:pStyle w:val="1323"/>
              <w:numPr>
                <w:ilvl w:val="1"/>
                <w:numId w:val="6"/>
              </w:numPr>
              <w:ind w:left="-117" w:firstLine="142"/>
              <w:jc w:val="center"/>
              <w:spacing w:before="60" w:after="60"/>
              <w:rPr>
                <w:sz w:val="22"/>
                <w:szCs w:val="22"/>
                <w:highlight w:val="none"/>
                <w14:ligatures w14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</w:tc>
        <w:tc>
          <w:tcPr>
            <w:gridSpan w:val="3"/>
            <w:tcW w:w="890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white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  <w:u w:val="single"/>
              </w:rPr>
              <w:t xml:space="preserve">Требования к кадровым ресурсам и МТР победителя: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white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white"/>
                <w:u w:val="single"/>
              </w:rPr>
            </w:r>
          </w:p>
          <w:p>
            <w:pPr>
              <w:pStyle w:val="1323"/>
              <w:numPr>
                <w:ilvl w:val="0"/>
                <w:numId w:val="170"/>
              </w:numPr>
              <w:contextualSpacing/>
              <w:ind w:left="0" w:firstLine="363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sz w:val="22"/>
                <w:szCs w:val="22"/>
                <w:highlight w:val="none"/>
              </w:rPr>
              <w:t xml:space="preserve">Согласно требования </w:t>
            </w:r>
            <w:r>
              <w:rPr>
                <w:sz w:val="22"/>
                <w:szCs w:val="22"/>
                <w:highlight w:val="none"/>
              </w:rPr>
              <w:t xml:space="preserve">п.92 </w:t>
            </w:r>
            <w:r>
              <w:rPr>
                <w:sz w:val="22"/>
                <w:szCs w:val="22"/>
                <w:highlight w:val="none"/>
              </w:rPr>
              <w:t xml:space="preserve">Постановления правительства Российской федерации</w:t>
            </w:r>
            <w:r>
              <w:rPr>
                <w:sz w:val="22"/>
                <w:szCs w:val="22"/>
                <w:highlight w:val="none"/>
              </w:rPr>
              <w:t xml:space="preserve"> от 24.12.2021 г.№2464 «О порядке обучения по охране труда и проверки знаний требований охраны труда» Победитель</w:t>
            </w:r>
            <w:r>
              <w:rPr>
                <w:sz w:val="22"/>
                <w:szCs w:val="22"/>
                <w:highlight w:val="none"/>
              </w:rPr>
              <w:t xml:space="preserve"> должен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ru-RU"/>
              </w:rPr>
              <w:t xml:space="preserve">меть в наличие не менее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 3-х человек (руководитель, производитель работ и всех членов бригады) прошедших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проверку знани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й требов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ний охраны труда.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14:ligatures w14:val="none"/>
              </w:rPr>
            </w:r>
          </w:p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170"/>
              </w:numPr>
              <w:contextualSpacing/>
              <w:ind w:left="0" w:firstLine="363"/>
              <w:jc w:val="both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 соответствии с требованиям п.3.10.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профессионального стандарта «Специалист по системам защитных покрытий поверхности зданий и сооружений опасных производственных объектов» утв. 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риказом Минтруда России от 19.10.2021 №733н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 Победитель должен иметь не менее 1-го специалиста с высшим образованием в области защиты от коррозии для обеспечения руководства работами по подготовки поверхности и нанесению противокоррозионных систем защитных покрытий.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ind w:left="0" w:right="0" w:firstLine="0"/>
              <w:jc w:val="both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170"/>
              </w:numPr>
              <w:contextualSpacing/>
              <w:ind w:left="0" w:firstLine="363"/>
              <w:jc w:val="both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  <w:suppressLineNumbers w:val="0"/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Для выполнения работ по пескоструйной очистке </w:t>
            </w:r>
            <w:r>
              <w:rPr>
                <w:sz w:val="22"/>
                <w:szCs w:val="22"/>
                <w:highlight w:val="none"/>
              </w:rPr>
              <w:t xml:space="preserve">внутренней и наружной поверхности Анионитового фильтра 1 ступени №2, Н-катионитового фильтра 2 ступени №2, </w:t>
            </w:r>
            <w:r>
              <w:rPr>
                <w:sz w:val="22"/>
                <w:szCs w:val="22"/>
                <w:highlight w:val="none"/>
              </w:rPr>
              <w:t xml:space="preserve">трансформатора связи №7 ТДЦН-125000/110, в</w:t>
            </w:r>
            <w:r>
              <w:rPr>
                <w:sz w:val="22"/>
                <w:szCs w:val="22"/>
                <w:highlight w:val="none"/>
              </w:rPr>
              <w:t xml:space="preserve">нутреннего газопровода котлоагрегата №9</w:t>
            </w:r>
            <w:r>
              <w:rPr>
                <w:sz w:val="22"/>
                <w:szCs w:val="22"/>
                <w:highlight w:val="none"/>
              </w:rPr>
              <w:t xml:space="preserve"> (раздел 1, раздел 4, раздел 9 приложения №2 к ТТ Ведомость объемов работ) Победитель должен иметь: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pStyle w:val="1323"/>
              <w:numPr>
                <w:ilvl w:val="0"/>
                <w:numId w:val="174"/>
              </w:numPr>
              <w:ind w:left="0" w:firstLine="349"/>
              <w:jc w:val="both"/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Компрессор воздушный с ресивером, производительностью 3,5-4,0 м3/мин и более 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-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не менее 1 единицы;</w:t>
            </w:r>
            <w:r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</w:r>
            <w:r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169"/>
              </w:numPr>
              <w:ind w:left="0" w:firstLine="349"/>
              <w:jc w:val="both"/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sz w:val="22"/>
                <w:szCs w:val="22"/>
                <w:highlight w:val="none"/>
              </w:rPr>
              <w:t xml:space="preserve">Установка аброзивоструйная или аппарат струйной очистки с диаметром сопла 6-8 мм  </w:t>
            </w:r>
            <w:r>
              <w:rPr>
                <w:sz w:val="22"/>
                <w:szCs w:val="22"/>
                <w:highlight w:val="none"/>
              </w:rPr>
              <w:t xml:space="preserve">-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не менее 1 единицы</w:t>
            </w:r>
            <w:r>
              <w:rPr>
                <w:sz w:val="22"/>
                <w:szCs w:val="22"/>
                <w:highlight w:val="none"/>
              </w:rPr>
              <w:t xml:space="preserve">.</w:t>
            </w:r>
            <w:r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</w:r>
            <w:r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ind w:left="349" w:firstLine="0"/>
              <w:jc w:val="both"/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</w:r>
            <w:r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170"/>
              </w:numPr>
              <w:contextualSpacing/>
              <w:ind w:left="0" w:firstLine="363"/>
              <w:jc w:val="both"/>
              <w:rPr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  <w:suppressLineNumbers w:val="0"/>
            </w:pPr>
            <w:r>
              <w:rPr>
                <w:sz w:val="22"/>
                <w:szCs w:val="22"/>
                <w:highlight w:val="none"/>
              </w:rPr>
              <w:t xml:space="preserve">Для нанесения лакокрасочных покрытий при выполнении работ по ремонту АКЗ газопроводов КЦ</w:t>
            </w:r>
            <w:r>
              <w:rPr>
                <w:sz w:val="22"/>
                <w:szCs w:val="22"/>
                <w:highlight w:val="none"/>
              </w:rPr>
              <w:t xml:space="preserve"> (раздел 9 приложения №2 к ТТ Ведомость объемов работ) Победитель должен иметь: 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169"/>
              </w:numPr>
              <w:ind w:left="0" w:firstLine="349"/>
              <w:jc w:val="both"/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sz w:val="22"/>
                <w:szCs w:val="22"/>
                <w:highlight w:val="none"/>
              </w:rPr>
              <w:t xml:space="preserve">Аппарат окрасочный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 </w:t>
            </w:r>
            <w:r>
              <w:rPr>
                <w:sz w:val="22"/>
                <w:szCs w:val="22"/>
                <w:highlight w:val="none"/>
              </w:rPr>
              <w:t xml:space="preserve">-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не менее 1 единицы.</w:t>
            </w:r>
            <w:r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</w:r>
            <w:r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ind w:left="349" w:firstLine="0"/>
              <w:jc w:val="both"/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</w:r>
            <w:r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ind w:left="349" w:firstLine="0"/>
              <w:jc w:val="both"/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</w:r>
            <w:r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ind w:left="349" w:firstLine="0"/>
              <w:jc w:val="both"/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</w:r>
            <w:r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</w:r>
            <w:r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170"/>
              </w:numPr>
              <w:contextualSpacing/>
              <w:ind w:left="0" w:firstLine="363"/>
              <w:jc w:val="both"/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Для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 контроля качества лакокрасочных покрытий 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огласно требований п. 22.2.  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нструкции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№ 9 по защите аппаратуры химически стойкими лакокрасочными материалами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ВСН 214-82/ММСС СССР «Сборник инструкций по защите от коррозии»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утв.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Минмонтажспецстроем СССР от 30.06.1982) </w:t>
            </w:r>
            <w:r>
              <w:rPr>
                <w:sz w:val="22"/>
                <w:szCs w:val="22"/>
                <w:highlight w:val="none"/>
              </w:rPr>
              <w:t xml:space="preserve">Победитель должен иметь: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 </w:t>
            </w:r>
            <w:r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</w:r>
            <w:r>
              <w:rPr>
                <w:b w:val="0"/>
                <w:bCs w:val="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169"/>
              </w:numPr>
              <w:ind w:left="0" w:firstLine="349"/>
              <w:jc w:val="both"/>
              <w:rPr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Магнитный толщиномер</w:t>
            </w:r>
            <w:r>
              <w:rPr>
                <w:sz w:val="22"/>
                <w:szCs w:val="22"/>
                <w:highlight w:val="none"/>
              </w:rPr>
              <w:t xml:space="preserve"> - 1 единица;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  <w:p>
            <w:pPr>
              <w:pStyle w:val="1323"/>
              <w:numPr>
                <w:ilvl w:val="0"/>
                <w:numId w:val="169"/>
              </w:numPr>
              <w:ind w:left="0" w:firstLine="349"/>
              <w:jc w:val="both"/>
              <w:rPr>
                <w:sz w:val="22"/>
                <w:szCs w:val="22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sz w:val="22"/>
                <w:szCs w:val="22"/>
                <w:highlight w:val="none"/>
              </w:rPr>
              <w:t xml:space="preserve">Дефектоскоп ЛКД-1М (или аналог) - </w:t>
            </w:r>
            <w:r>
              <w:rPr>
                <w:sz w:val="22"/>
                <w:szCs w:val="22"/>
                <w:highlight w:val="none"/>
              </w:rPr>
              <w:t xml:space="preserve">1 единица</w:t>
            </w:r>
            <w:r>
              <w:rPr>
                <w:sz w:val="22"/>
                <w:szCs w:val="22"/>
                <w:highlight w:val="none"/>
                <w14:ligatures w14:val="none"/>
              </w:rPr>
            </w:r>
            <w:r>
              <w:rPr>
                <w:sz w:val="22"/>
                <w:szCs w:val="22"/>
                <w:highlight w:val="none"/>
                <w14:ligatures w14:val="none"/>
              </w:rPr>
            </w:r>
          </w:p>
        </w:tc>
        <w:tc>
          <w:tcPr>
            <w:gridSpan w:val="3"/>
            <w:tcW w:w="5275" w:type="dxa"/>
            <w:vMerge w:val="restart"/>
            <w:textDirection w:val="lrTb"/>
            <w:noWrap w:val="false"/>
          </w:tcPr>
          <w:p>
            <w:pPr>
              <w:ind w:left="142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white"/>
                <w:u w:val="single"/>
                <w:lang w:val="ru-RU" w:eastAsia="en-US" w:bidi="ar-SA"/>
              </w:rPr>
              <w:t xml:space="preserve">Подтверждается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: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1123"/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Копиями документов проверки знаний требований охраны труда обученных лиц, не менее чем на 3 человек, (руководитель, производитель работ и всех членов бригады), которые будут непосредственно на объектах выполнять работы по Наряду-допуску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</w:p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contextualSpacing/>
              <w:ind w:left="0" w:firstLine="0"/>
              <w:jc w:val="both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0" w:space="0"/>
              </w:pBd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2. Копиями документов, подтверждающих наличие высшего образования – специалитет или магистратура и дополнительное профессиональное образования – программы повышения квалификации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 или высшего 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непрофильное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техническое) образования -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специалитет или магистратура и дополнительное профессиональное образования – программы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 профессиональной переподготовки в области защиты от коррозии.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0"/>
                <w:szCs w:val="20"/>
                <w:highlight w:val="white"/>
                <w:u w:val="singl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u w:val="singl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u w:val="single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val="ru-RU" w:eastAsia="en-US" w:bidi="ar-SA"/>
              </w:rPr>
              <w:t xml:space="preserve">3. К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опиями договоров аренды (в случае владения по договору аренды) и/или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копиями иных документов, подтверждающих законное право владения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  (в случае вл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адения на ином основании), либо гарантийным письмом от Победителя о владении МТР, паспортами и действующими свидетельствами о поверке.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4. К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опиями договоров аренды (в случае владения по договору аренды) и/или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копиями иных документов, подтверждающих законное право владения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  (в случае вл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адения на ином основании), либо гарантийным письмом от Победителя о владении МТР, паспортами.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both"/>
              <w:rPr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5.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Подтверждается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копиями договоров аренды (в случае владения по договору аренды) и/или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копиями иных документов, подтверждающих законное право владения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  (в случае вл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адения на ином основании), либо гарантийным письмом от Победителя о владении МТР, паспортами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</w:tbl>
    <w:p>
      <w:pPr>
        <w:spacing w:after="160" w:line="259" w:lineRule="auto"/>
        <w:rPr>
          <w:highlight w:val="none"/>
        </w:rPr>
        <w:sectPr>
          <w:headerReference w:type="default" r:id="rId11"/>
          <w:headerReference w:type="first" r:id="rId12"/>
          <w:footerReference w:type="default" r:id="rId14"/>
          <w:footnotePr/>
          <w:endnotePr/>
          <w:type w:val="nextPage"/>
          <w:pgSz w:w="16838" w:h="11906" w:orient="landscape"/>
          <w:pgMar w:top="993" w:right="1134" w:bottom="850" w:left="1134" w:header="426" w:footer="708" w:gutter="0"/>
          <w:cols w:num="1" w:sep="0" w:space="708" w:equalWidth="1"/>
          <w:docGrid w:linePitch="360"/>
        </w:sect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124"/>
        <w:ind w:left="357" w:hanging="357"/>
        <w:jc w:val="center"/>
        <w:keepLines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bookmarkStart w:id="26" w:name="_Toc53393312"/>
      <w:r>
        <w:rPr>
          <w:sz w:val="24"/>
          <w:szCs w:val="24"/>
          <w:highlight w:val="none"/>
        </w:rPr>
      </w:r>
      <w:bookmarkStart w:id="27" w:name="_Toc54646411"/>
      <w:r>
        <w:rPr>
          <w:sz w:val="24"/>
          <w:szCs w:val="24"/>
          <w:highlight w:val="none"/>
        </w:rPr>
      </w:r>
      <w:bookmarkStart w:id="28" w:name="_Toc46743519"/>
      <w:r>
        <w:rPr>
          <w:sz w:val="24"/>
          <w:szCs w:val="24"/>
          <w:highlight w:val="none"/>
        </w:rPr>
      </w:r>
      <w:bookmarkStart w:id="29" w:name="_Toc51339699"/>
      <w:r>
        <w:rPr>
          <w:sz w:val="24"/>
          <w:szCs w:val="24"/>
          <w:highlight w:val="none"/>
        </w:rPr>
        <w:t xml:space="preserve">Требования к документации по ценообразованию</w:t>
      </w:r>
      <w:bookmarkEnd w:id="26"/>
      <w:r>
        <w:rPr>
          <w:sz w:val="24"/>
          <w:szCs w:val="24"/>
          <w:highlight w:val="none"/>
        </w:rPr>
        <w:t xml:space="preserve"> на этапе закупки</w:t>
      </w:r>
      <w:bookmarkEnd w:id="27"/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127"/>
        <w:ind w:left="1418" w:hanging="709"/>
        <w:jc w:val="both"/>
        <w:rPr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В обоснование стоимости сво</w:t>
      </w:r>
      <w:r>
        <w:rPr>
          <w:b w:val="0"/>
          <w:bCs w:val="0"/>
          <w:sz w:val="24"/>
          <w:szCs w:val="24"/>
          <w:highlight w:val="none"/>
        </w:rPr>
        <w:t xml:space="preserve">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коэффициента). Стоимость предложений участников определяется по формуле: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1417" w:right="0" w:firstLine="0"/>
        <w:jc w:val="center"/>
        <w:spacing w:before="0" w:line="240" w:lineRule="auto"/>
        <w:tabs>
          <w:tab w:val="left" w:pos="567" w:leader="none"/>
        </w:tabs>
        <w:rPr>
          <w:sz w:val="24"/>
          <w:szCs w:val="24"/>
          <w:highlight w:val="none"/>
        </w:rPr>
      </w:pPr>
      <w:r>
        <w:rPr>
          <w:i w:val="0"/>
          <w:iCs w:val="0"/>
          <w:sz w:val="24"/>
          <w:szCs w:val="24"/>
          <w:highlight w:val="none"/>
        </w:rPr>
        <w:t xml:space="preserve">P=N*k,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1417" w:right="0" w:firstLine="0"/>
        <w:jc w:val="both"/>
        <w:spacing w:before="0" w:line="240" w:lineRule="auto"/>
        <w:tabs>
          <w:tab w:val="left" w:pos="567" w:leader="none"/>
        </w:tabs>
        <w:rPr>
          <w:sz w:val="24"/>
          <w:szCs w:val="24"/>
          <w:highlight w:val="none"/>
        </w:rPr>
      </w:pPr>
      <w:r>
        <w:rPr>
          <w:i w:val="0"/>
          <w:iCs w:val="0"/>
          <w:sz w:val="24"/>
          <w:szCs w:val="24"/>
          <w:highlight w:val="none"/>
        </w:rPr>
        <w:t xml:space="preserve">где     P – стоимость предложения участника;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1417" w:right="0" w:firstLine="0"/>
        <w:jc w:val="both"/>
        <w:spacing w:before="0" w:line="240" w:lineRule="auto"/>
        <w:tabs>
          <w:tab w:val="left" w:pos="567" w:leader="none"/>
        </w:tabs>
        <w:rPr>
          <w:bCs w:val="0"/>
          <w:i w:val="0"/>
          <w:sz w:val="24"/>
          <w:szCs w:val="24"/>
          <w:highlight w:val="none"/>
        </w:rPr>
      </w:pPr>
      <w:r>
        <w:rPr>
          <w:i w:val="0"/>
          <w:iCs w:val="0"/>
          <w:sz w:val="24"/>
          <w:szCs w:val="24"/>
          <w:highlight w:val="none"/>
        </w:rPr>
        <w:t xml:space="preserve">N – начальная (максимальная) цена договора</w:t>
      </w:r>
      <w:r>
        <w:rPr>
          <w:i w:val="0"/>
          <w:iCs w:val="0"/>
          <w:sz w:val="24"/>
          <w:szCs w:val="24"/>
          <w:highlight w:val="none"/>
        </w:rPr>
        <w:t xml:space="preserve"> (цена лота)</w:t>
      </w:r>
      <w:r>
        <w:rPr>
          <w:i w:val="0"/>
          <w:iCs w:val="0"/>
          <w:sz w:val="24"/>
          <w:szCs w:val="24"/>
          <w:highlight w:val="none"/>
        </w:rPr>
        <w:t xml:space="preserve">, определенная в соответствии со сметной документацией Заказчика, приведенной в приложении №3 к настоящим Техническим требованиям; </w:t>
      </w:r>
      <w:r>
        <w:rPr>
          <w:bCs w:val="0"/>
          <w:i w:val="0"/>
          <w:sz w:val="24"/>
          <w:szCs w:val="24"/>
          <w:highlight w:val="none"/>
        </w:rPr>
      </w:r>
      <w:r>
        <w:rPr>
          <w:bCs w:val="0"/>
          <w:i w:val="0"/>
          <w:sz w:val="24"/>
          <w:szCs w:val="24"/>
          <w:highlight w:val="none"/>
        </w:rPr>
      </w:r>
    </w:p>
    <w:p>
      <w:pPr>
        <w:ind w:left="1417" w:right="0" w:firstLine="0"/>
        <w:jc w:val="both"/>
        <w:spacing w:before="0" w:line="240" w:lineRule="auto"/>
        <w:tabs>
          <w:tab w:val="left" w:pos="567" w:leader="none"/>
        </w:tabs>
        <w:rPr>
          <w:bCs w:val="0"/>
          <w:i w:val="0"/>
          <w:sz w:val="24"/>
          <w:szCs w:val="24"/>
          <w:highlight w:val="none"/>
        </w:rPr>
      </w:pPr>
      <w:r>
        <w:rPr>
          <w:bCs w:val="0"/>
          <w:i w:val="0"/>
          <w:sz w:val="24"/>
          <w:szCs w:val="24"/>
          <w:highlight w:val="none"/>
        </w:rPr>
      </w:r>
      <w:r>
        <w:rPr>
          <w:b w:val="0"/>
          <w:bCs w:val="0"/>
          <w:i w:val="0"/>
          <w:iCs w:val="0"/>
          <w:sz w:val="24"/>
          <w:szCs w:val="24"/>
          <w:highlight w:val="none"/>
        </w:rPr>
        <w:t xml:space="preserve">k – </w:t>
      </w:r>
      <w:r>
        <w:rPr>
          <w:b w:val="0"/>
          <w:bCs w:val="0"/>
          <w:i w:val="0"/>
          <w:iCs w:val="0"/>
          <w:sz w:val="24"/>
          <w:szCs w:val="24"/>
          <w:highlight w:val="none"/>
        </w:rPr>
        <w:t xml:space="preserve">понижающий коэффициент, заявленный участником </w:t>
      </w:r>
      <w:r>
        <w:rPr>
          <w:b w:val="0"/>
          <w:bCs w:val="0"/>
          <w:i w:val="0"/>
          <w:iCs w:val="0"/>
          <w:sz w:val="24"/>
          <w:szCs w:val="24"/>
          <w:highlight w:val="none"/>
        </w:rPr>
        <w:t xml:space="preserve">в расчете цены заявки, величину данного коэффициента рекомендуется учитывать с округлением до 7 знаков после запятой</w:t>
      </w:r>
      <w:r>
        <w:rPr>
          <w:b w:val="0"/>
          <w:bCs w:val="0"/>
          <w:iCs/>
          <w:sz w:val="24"/>
          <w:szCs w:val="24"/>
          <w:highlight w:val="none"/>
        </w:rPr>
        <w:t xml:space="preserve">.</w:t>
      </w:r>
      <w:r>
        <w:rPr>
          <w:bCs w:val="0"/>
          <w:i w:val="0"/>
          <w:sz w:val="24"/>
          <w:szCs w:val="24"/>
          <w:highlight w:val="none"/>
        </w:rPr>
      </w:r>
      <w:r>
        <w:rPr>
          <w:bCs w:val="0"/>
          <w:i w:val="0"/>
          <w:sz w:val="24"/>
          <w:szCs w:val="24"/>
          <w:highlight w:val="none"/>
        </w:rPr>
      </w:r>
    </w:p>
    <w:p>
      <w:pPr>
        <w:pStyle w:val="1127"/>
        <w:ind w:left="1418" w:hanging="709"/>
        <w:jc w:val="both"/>
        <w:rPr>
          <w:b w:val="0"/>
          <w:iCs/>
          <w:sz w:val="24"/>
          <w:szCs w:val="24"/>
          <w:highlight w:val="none"/>
        </w:rPr>
      </w:pPr>
      <w:r>
        <w:rPr>
          <w:b w:val="0"/>
          <w:iCs/>
          <w:sz w:val="24"/>
          <w:szCs w:val="24"/>
          <w:highlight w:val="none"/>
        </w:rPr>
        <w:t xml:space="preserve">Дополнительные документы по ценообразованию (сметная документация) в состав заявки Участника не включаются.</w:t>
      </w:r>
      <w:r>
        <w:rPr>
          <w:b w:val="0"/>
          <w:iCs/>
          <w:sz w:val="24"/>
          <w:szCs w:val="24"/>
          <w:highlight w:val="none"/>
        </w:rPr>
      </w:r>
      <w:r>
        <w:rPr>
          <w:b w:val="0"/>
          <w:iCs/>
          <w:sz w:val="24"/>
          <w:szCs w:val="24"/>
          <w:highlight w:val="none"/>
        </w:rPr>
      </w:r>
    </w:p>
    <w:p>
      <w:pPr>
        <w:pStyle w:val="1124"/>
        <w:numPr>
          <w:ilvl w:val="0"/>
          <w:numId w:val="0"/>
        </w:numPr>
        <w:ind w:left="357"/>
        <w:keepLines/>
        <w:rPr>
          <w:iCs/>
          <w:sz w:val="24"/>
          <w:szCs w:val="24"/>
          <w:highlight w:val="none"/>
        </w:rPr>
      </w:pPr>
      <w:r>
        <w:rPr>
          <w:iCs/>
          <w:sz w:val="24"/>
          <w:szCs w:val="24"/>
          <w:highlight w:val="none"/>
        </w:rPr>
      </w:r>
      <w:r>
        <w:rPr>
          <w:iCs/>
          <w:sz w:val="24"/>
          <w:szCs w:val="24"/>
          <w:highlight w:val="none"/>
        </w:rPr>
      </w:r>
      <w:r>
        <w:rPr>
          <w:iCs/>
          <w:sz w:val="24"/>
          <w:szCs w:val="24"/>
          <w:highlight w:val="none"/>
        </w:rPr>
      </w:r>
    </w:p>
    <w:p>
      <w:pPr>
        <w:rPr>
          <w:rFonts w:eastAsia="Calibri"/>
          <w:b/>
          <w:iCs/>
          <w:sz w:val="24"/>
          <w:szCs w:val="24"/>
          <w:highlight w:val="none"/>
        </w:rPr>
      </w:pPr>
      <w:r>
        <w:rPr>
          <w:rFonts w:eastAsia="Calibri"/>
          <w:b/>
          <w:iCs/>
          <w:sz w:val="24"/>
          <w:szCs w:val="24"/>
          <w:highlight w:val="none"/>
        </w:rPr>
      </w:r>
      <w:r>
        <w:rPr>
          <w:rFonts w:eastAsia="Calibri"/>
          <w:b/>
          <w:iCs/>
          <w:sz w:val="24"/>
          <w:szCs w:val="24"/>
          <w:highlight w:val="none"/>
        </w:rPr>
      </w:r>
      <w:r>
        <w:rPr>
          <w:rFonts w:eastAsia="Calibri"/>
          <w:b/>
          <w:iCs/>
          <w:sz w:val="24"/>
          <w:szCs w:val="24"/>
          <w:highlight w:val="none"/>
        </w:rPr>
      </w:r>
    </w:p>
    <w:p>
      <w:pPr>
        <w:pStyle w:val="1124"/>
        <w:ind w:left="357" w:hanging="357"/>
        <w:jc w:val="center"/>
        <w:keepLines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bookmarkStart w:id="30" w:name="_Toc54646412"/>
      <w:r>
        <w:rPr>
          <w:sz w:val="24"/>
          <w:szCs w:val="24"/>
          <w:highlight w:val="none"/>
        </w:rPr>
        <w:t xml:space="preserve">Требования к документации по ценообразованию на этапе заключения договора</w:t>
      </w:r>
      <w:bookmarkEnd w:id="30"/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124"/>
        <w:numPr>
          <w:ilvl w:val="0"/>
          <w:numId w:val="0"/>
        </w:numPr>
        <w:ind w:left="357"/>
        <w:keepLines/>
        <w:rPr>
          <w:iCs/>
          <w:sz w:val="24"/>
          <w:szCs w:val="24"/>
          <w:highlight w:val="none"/>
        </w:rPr>
      </w:pPr>
      <w:r>
        <w:rPr>
          <w:iCs/>
          <w:sz w:val="24"/>
          <w:szCs w:val="24"/>
          <w:highlight w:val="none"/>
        </w:rPr>
      </w:r>
      <w:r>
        <w:rPr>
          <w:iCs/>
          <w:sz w:val="24"/>
          <w:szCs w:val="24"/>
          <w:highlight w:val="none"/>
        </w:rPr>
      </w:r>
      <w:r>
        <w:rPr>
          <w:iCs/>
          <w:sz w:val="24"/>
          <w:szCs w:val="24"/>
          <w:highlight w:val="none"/>
        </w:rPr>
      </w:r>
    </w:p>
    <w:p>
      <w:pPr>
        <w:pStyle w:val="1127"/>
        <w:ind w:left="1418" w:hanging="709"/>
        <w:jc w:val="both"/>
        <w:rPr>
          <w:b w:val="0"/>
          <w:bCs w:val="0"/>
          <w:iCs/>
          <w:sz w:val="24"/>
          <w:szCs w:val="24"/>
          <w:highlight w:val="none"/>
        </w:rPr>
      </w:pPr>
      <w:r>
        <w:rPr>
          <w:b w:val="0"/>
          <w:bCs w:val="0"/>
          <w:iCs/>
          <w:sz w:val="24"/>
          <w:szCs w:val="24"/>
          <w:highlight w:val="none"/>
        </w:rPr>
        <w:t xml:space="preserve">Требования к составлению сметной документации (при заключении договора):</w:t>
      </w:r>
      <w:r>
        <w:rPr>
          <w:b w:val="0"/>
          <w:bCs w:val="0"/>
          <w:iCs/>
          <w:sz w:val="24"/>
          <w:szCs w:val="24"/>
          <w:highlight w:val="none"/>
        </w:rPr>
      </w:r>
      <w:r>
        <w:rPr>
          <w:b w:val="0"/>
          <w:bCs w:val="0"/>
          <w:iCs/>
          <w:sz w:val="24"/>
          <w:szCs w:val="24"/>
          <w:highlight w:val="none"/>
        </w:rPr>
      </w:r>
    </w:p>
    <w:p>
      <w:pPr>
        <w:pStyle w:val="1127"/>
        <w:numPr>
          <w:ilvl w:val="2"/>
          <w:numId w:val="1"/>
        </w:numPr>
        <w:ind w:left="1418" w:hanging="709"/>
        <w:jc w:val="both"/>
        <w:rPr>
          <w:rFonts w:ascii="Times New Roman" w:hAnsi="Times New Roman" w:cs="Times New Roman"/>
          <w:b w:val="0"/>
          <w:iCs/>
          <w:sz w:val="24"/>
          <w:szCs w:val="24"/>
          <w:highlight w:val="none"/>
          <w14:ligatures w14:val="none"/>
        </w:rPr>
      </w:pPr>
      <w:r>
        <w:rPr>
          <w:b w:val="0"/>
          <w:bCs w:val="0"/>
          <w:iCs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  <w:highlight w:val="none"/>
        </w:rPr>
        <w:t xml:space="preserve">Сметная документация разработана заказчиком в рамках определения начальной (максимальной) цены договора в соответствии с требованиями, указанными в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  <w:highlight w:val="none"/>
        </w:rPr>
        <w:t xml:space="preserve">приложении №1 к настоящим ТТ, и включается в состав договора с применением понижающего коэффициента, указанного в заявке Участника, с которым принято решение заключить договор.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Понижающий коэффициент начисляется в локальн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ых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 смет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ах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 единым индексом в итогах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b w:val="0"/>
          <w:iCs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b w:val="0"/>
          <w:iCs/>
          <w:sz w:val="24"/>
          <w:szCs w:val="24"/>
          <w:highlight w:val="none"/>
          <w14:ligatures w14:val="none"/>
        </w:rPr>
      </w:r>
    </w:p>
    <w:p>
      <w:pPr>
        <w:pStyle w:val="1127"/>
        <w:numPr>
          <w:ilvl w:val="2"/>
          <w:numId w:val="1"/>
        </w:numPr>
        <w:ind w:left="1418" w:hanging="709"/>
        <w:jc w:val="both"/>
        <w:rPr>
          <w:b w:val="0"/>
          <w:bCs w:val="0"/>
          <w:iCs/>
          <w:sz w:val="24"/>
          <w:szCs w:val="24"/>
          <w:highlight w:val="none"/>
        </w:rPr>
      </w:pPr>
      <w:r>
        <w:rPr>
          <w:b w:val="0"/>
          <w:bCs w:val="0"/>
          <w:iCs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  <w:highlight w:val="none"/>
        </w:rPr>
        <w:t xml:space="preserve">Внесение изменений в сметную документацию заказчика (приложение №3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  <w:highlight w:val="none"/>
        </w:rPr>
        <w:t xml:space="preserve">к настоящим ТТ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  <w:highlight w:val="none"/>
        </w:rPr>
        <w:t xml:space="preserve">, кроме применения понижающего коэффициента в соответствии с п.4.1.1. не допускается</w:t>
      </w:r>
      <w:r>
        <w:rPr>
          <w:b w:val="0"/>
          <w:bCs w:val="0"/>
          <w:iCs/>
          <w:sz w:val="24"/>
          <w:szCs w:val="24"/>
          <w:highlight w:val="none"/>
        </w:rPr>
        <w:t xml:space="preserve">.</w:t>
      </w:r>
      <w:r>
        <w:rPr>
          <w:b w:val="0"/>
          <w:bCs w:val="0"/>
          <w:iCs/>
          <w:sz w:val="24"/>
          <w:szCs w:val="24"/>
          <w:highlight w:val="none"/>
        </w:rPr>
      </w:r>
      <w:r>
        <w:rPr>
          <w:b w:val="0"/>
          <w:bCs w:val="0"/>
          <w:iCs/>
          <w:sz w:val="24"/>
          <w:szCs w:val="24"/>
          <w:highlight w:val="none"/>
        </w:rPr>
      </w:r>
    </w:p>
    <w:p>
      <w:pPr>
        <w:pStyle w:val="1127"/>
        <w:ind w:left="1418" w:hanging="709"/>
        <w:jc w:val="both"/>
        <w:rPr>
          <w:b w:val="0"/>
          <w:bCs w:val="0"/>
          <w:iCs/>
          <w:sz w:val="24"/>
          <w:szCs w:val="24"/>
          <w:highlight w:val="none"/>
        </w:rPr>
      </w:pPr>
      <w:r>
        <w:rPr>
          <w:b w:val="0"/>
          <w:bCs w:val="0"/>
          <w:iCs/>
          <w:sz w:val="24"/>
          <w:szCs w:val="24"/>
          <w:highlight w:val="none"/>
        </w:rPr>
        <w:t xml:space="preserve">Требования к составлению сметной документации (на этапе исполнения договора):</w:t>
      </w:r>
      <w:r>
        <w:rPr>
          <w:b w:val="0"/>
          <w:bCs w:val="0"/>
          <w:iCs/>
          <w:sz w:val="24"/>
          <w:szCs w:val="24"/>
          <w:highlight w:val="none"/>
        </w:rPr>
      </w:r>
      <w:r>
        <w:rPr>
          <w:b w:val="0"/>
          <w:bCs w:val="0"/>
          <w:iCs/>
          <w:sz w:val="24"/>
          <w:szCs w:val="24"/>
          <w:highlight w:val="none"/>
        </w:rPr>
      </w:r>
    </w:p>
    <w:p>
      <w:pPr>
        <w:pStyle w:val="1127"/>
        <w:numPr>
          <w:ilvl w:val="2"/>
          <w:numId w:val="1"/>
        </w:numPr>
        <w:ind w:left="1418" w:hanging="709"/>
        <w:jc w:val="both"/>
        <w:rPr>
          <w:rFonts w:ascii="Times New Roman" w:hAnsi="Times New Roman" w:cs="Times New Roman"/>
          <w:b w:val="0"/>
          <w:bCs w:val="0"/>
          <w:sz w:val="24"/>
          <w:szCs w:val="24"/>
          <w:highlight w:val="none"/>
          <w14:ligatures w14:val="none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В случае возникновения непредвиденных расходов в рамках реализации договора необходимо составлять и оф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ормлять сметную документацию в обоснование данных затрат в соответствии с требованиями, указанными в приложении № 1 к настоящим Техническим требованиям, с применением понижающего коэффициента, определенного по результатам конкурентной процедуры (п. 4.1.1).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Заключение дополнительного соглашения на увеличение стоимости работ производится после использования резерва средств на непредвиденные работы и затраты. В дополнительном соглашении резерв средств на непредвиденные работы и затраты не предусматривается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  <w14:ligatures w14:val="none"/>
        </w:rPr>
      </w:r>
    </w:p>
    <w:p>
      <w:pPr>
        <w:pStyle w:val="1127"/>
        <w:numPr>
          <w:ilvl w:val="2"/>
          <w:numId w:val="1"/>
        </w:numPr>
        <w:ind w:left="1418" w:hanging="709"/>
        <w:jc w:val="both"/>
        <w:rPr>
          <w:b w:val="0"/>
          <w:bCs w:val="0"/>
          <w:highlight w:val="none"/>
        </w:rPr>
      </w:pPr>
      <w:r>
        <w:rPr>
          <w:iCs/>
          <w:sz w:val="24"/>
          <w:szCs w:val="24"/>
          <w:highlight w:val="none"/>
        </w:rPr>
      </w:r>
      <w:r>
        <w:rPr>
          <w:iCs/>
          <w:highlight w:val="none"/>
        </w:rPr>
        <w:br w:type="page" w:clear="all"/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Style w:val="1124"/>
        <w:ind w:left="357" w:hanging="357"/>
        <w:jc w:val="center"/>
        <w:keepLines/>
        <w:rPr>
          <w:iCs/>
          <w:caps/>
          <w:highlight w:val="none"/>
        </w:rPr>
      </w:pPr>
      <w:r>
        <w:rPr>
          <w:highlight w:val="none"/>
        </w:rPr>
      </w:r>
      <w:bookmarkStart w:id="31" w:name="_Toc54646413"/>
      <w:r>
        <w:rPr>
          <w:iCs/>
          <w:highlight w:val="none"/>
        </w:rPr>
        <w:t xml:space="preserve">Приложения</w:t>
      </w:r>
      <w:bookmarkEnd w:id="28"/>
      <w:r>
        <w:rPr>
          <w:highlight w:val="none"/>
        </w:rPr>
      </w:r>
      <w:bookmarkEnd w:id="29"/>
      <w:r>
        <w:rPr>
          <w:highlight w:val="none"/>
        </w:rPr>
      </w:r>
      <w:bookmarkEnd w:id="31"/>
      <w:r>
        <w:rPr>
          <w:iCs/>
          <w:caps/>
          <w:highlight w:val="none"/>
        </w:rPr>
      </w:r>
      <w:r>
        <w:rPr>
          <w:iCs/>
          <w:caps/>
          <w:highlight w:val="none"/>
        </w:rPr>
      </w:r>
    </w:p>
    <w:p>
      <w:pPr>
        <w:jc w:val="both"/>
        <w:spacing w:after="120"/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Приложение №1  - </w:t>
      </w:r>
      <w:r>
        <w:rPr>
          <w:sz w:val="24"/>
          <w:highlight w:val="none"/>
        </w:rPr>
        <w:t xml:space="preserve"> Требования к составлению сметной документации</w:t>
      </w:r>
      <w:r>
        <w:rPr>
          <w:sz w:val="24"/>
          <w:highlight w:val="none"/>
        </w:rPr>
        <w:t xml:space="preserve">;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jc w:val="both"/>
        <w:spacing w:after="120"/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Приложение № 2 -  Ведомость объемов работ</w:t>
      </w:r>
      <w:r>
        <w:rPr>
          <w:sz w:val="24"/>
          <w:szCs w:val="26"/>
          <w:highlight w:val="none"/>
        </w:rPr>
        <w:t xml:space="preserve">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spacing w:after="120"/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Приложение № 2.</w:t>
      </w:r>
      <w:r>
        <w:rPr>
          <w:bCs/>
          <w:sz w:val="24"/>
          <w:szCs w:val="24"/>
          <w:highlight w:val="none"/>
        </w:rPr>
        <w:t xml:space="preserve">1 - Ведомость</w:t>
      </w:r>
      <w:r>
        <w:rPr>
          <w:bCs/>
          <w:sz w:val="24"/>
          <w:szCs w:val="24"/>
          <w:highlight w:val="none"/>
        </w:rPr>
        <w:t xml:space="preserve"> материалов</w:t>
      </w:r>
      <w:r>
        <w:rPr>
          <w:bCs/>
          <w:sz w:val="24"/>
          <w:szCs w:val="24"/>
          <w:highlight w:val="none"/>
        </w:rPr>
        <w:t xml:space="preserve">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spacing w:after="120"/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Приложение № 3 - Локальный сметный расчет</w:t>
      </w:r>
      <w:r>
        <w:rPr>
          <w:bCs/>
          <w:sz w:val="24"/>
          <w:szCs w:val="24"/>
          <w:highlight w:val="none"/>
        </w:rPr>
        <w:t xml:space="preserve">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spacing w:after="120"/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Приложение № 4 - </w:t>
      </w:r>
      <w:r>
        <w:rPr>
          <w:bCs/>
          <w:sz w:val="24"/>
          <w:szCs w:val="24"/>
          <w:highlight w:val="none"/>
        </w:rPr>
        <w:t xml:space="preserve">Локальные нормативные акты АО «ДГК»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spacing w:after="12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spacing w:after="12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spacing w:after="12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spacing w:after="12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spacing w:after="12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 (???????? ?????">
    <w:panose1 w:val="02020603050405020304"/>
  </w:font>
  <w:font w:name="calibri light (Заголовки)">
    <w:panose1 w:val="020F05020202040302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15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1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828666342"/>
      <w:docPartObj>
        <w:docPartGallery w:val="Page Numbers (Top of Page)"/>
        <w:docPartUnique w:val="true"/>
      </w:docPartObj>
      <w:rPr/>
    </w:sdtPr>
    <w:sdtContent>
      <w:p>
        <w:pPr>
          <w:pStyle w:val="1313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4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  <w:r>
          <w:rPr>
            <w:sz w:val="24"/>
            <w:szCs w:val="24"/>
          </w:rPr>
        </w:r>
      </w:p>
    </w:sdtContent>
  </w:sdt>
  <w:p>
    <w:pPr>
      <w:pStyle w:val="1313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18465715"/>
      <w:docPartObj>
        <w:docPartGallery w:val="Page Numbers (Top of Page)"/>
        <w:docPartUnique w:val="true"/>
      </w:docPartObj>
      <w:rPr/>
    </w:sdtPr>
    <w:sdtContent>
      <w:p>
        <w:pPr>
          <w:pStyle w:val="1313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13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  <w:r>
          <w:rPr>
            <w:sz w:val="24"/>
            <w:szCs w:val="24"/>
          </w:rPr>
        </w:r>
      </w:p>
    </w:sdtContent>
  </w:sdt>
  <w:p>
    <w:pPr>
      <w:pStyle w:val="1313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13"/>
      <w:jc w:val="center"/>
      <w:rPr>
        <w:sz w:val="22"/>
        <w:szCs w:val="22"/>
      </w:rPr>
    </w:pPr>
    <w:fldSimple w:instr="PAGE \* MERGEFORMAT">
      <w:r>
        <w:rPr>
          <w:sz w:val="22"/>
          <w:szCs w:val="22"/>
        </w:rPr>
        <w:t xml:space="preserve">1</w:t>
      </w:r>
    </w:fldSimple>
    <w:r>
      <w:rPr>
        <w:sz w:val="22"/>
        <w:szCs w:val="22"/>
      </w:rPr>
    </w:r>
    <w:r>
      <w:rPr>
        <w:sz w:val="22"/>
        <w:szCs w:val="22"/>
      </w:rPr>
    </w:r>
    <w:r>
      <w:rPr>
        <w:sz w:val="22"/>
        <w:szCs w:val="22"/>
      </w:rPr>
    </w:r>
  </w:p>
  <w:p>
    <w:pPr>
      <w:pStyle w:val="1313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712715976"/>
      <w:docPartObj>
        <w:docPartGallery w:val="Page Numbers (Top of Page)"/>
        <w:docPartUnique w:val="true"/>
      </w:docPartObj>
      <w:rPr/>
    </w:sdtPr>
    <w:sdtContent>
      <w:p>
        <w:pPr>
          <w:pStyle w:val="1313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16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  <w:r>
          <w:rPr>
            <w:sz w:val="24"/>
            <w:szCs w:val="24"/>
          </w:rPr>
        </w:r>
      </w:p>
    </w:sdtContent>
  </w:sdt>
  <w:p>
    <w:pPr>
      <w:pStyle w:val="131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b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b w:val="0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pStyle w:val="132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1322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b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b w:val="0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05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7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9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1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3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5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7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9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18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5">
    <w:multiLevelType w:val="hybridMultilevel"/>
    <w:lvl w:ilvl="0">
      <w:start w:val="1"/>
      <w:numFmt w:val="decimal"/>
      <w:pStyle w:val="1124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127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1126"/>
      <w:isLgl w:val="false"/>
      <w:suff w:val="tab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0" w:firstLine="0"/>
      </w:pPr>
      <w:rPr>
        <w:rFonts w:hint="default"/>
        <w:b/>
        <w:sz w:val="24"/>
      </w:rPr>
    </w:lvl>
    <w:lvl w:ilvl="1">
      <w:start w:val="1"/>
      <w:numFmt w:val="decimal"/>
      <w:isLgl w:val="false"/>
      <w:suff w:val="tab"/>
      <w:lvlText w:val="%1.%2."/>
      <w:lvlJc w:val="right"/>
      <w:pPr>
        <w:ind w:left="0" w:firstLine="0"/>
      </w:pPr>
      <w:rPr>
        <w:rFonts w:hint="default"/>
        <w:b w:val="0"/>
        <w:sz w:val="22"/>
        <w:szCs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hint="default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decimal"/>
      <w:pStyle w:val="1124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127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1126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05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7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9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1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3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5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7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9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18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2">
    <w:multiLevelType w:val="hybridMultilevel"/>
    <w:lvl w:ilvl="0">
      <w:start w:val="1"/>
      <w:numFmt w:val="decimal"/>
      <w:pStyle w:val="1124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127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1126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b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b w:val="0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</w:lvl>
  </w:abstractNum>
  <w:abstractNum w:abstractNumId="48">
    <w:multiLevelType w:val="hybridMultilevel"/>
    <w:lvl w:ilvl="0">
      <w:start w:val="1"/>
      <w:numFmt w:val="decimal"/>
      <w:pStyle w:val="1124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127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1126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hint="default" w:ascii="Wingdings" w:hAnsi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b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b w:val="0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b w:val="0"/>
        <w:color w:val="000000" w:themeColor="text1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90" w:hanging="504"/>
      </w:pPr>
      <w:rPr>
        <w:b w:val="0"/>
        <w:i w:val="0"/>
        <w:sz w:val="24"/>
        <w:szCs w:val="24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2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sz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05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7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9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1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3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5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7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9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18" w:hanging="360"/>
      </w:pPr>
      <w:rPr>
        <w:rFonts w:hint="default" w:ascii="Wingdings" w:hAnsi="Wingdings" w:eastAsia="Wingdings" w:cs="Wingdings"/>
      </w:rPr>
    </w:lvl>
  </w:abstractNum>
  <w:abstractNum w:abstractNumId="8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05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7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9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1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3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5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7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9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18" w:hanging="360"/>
      </w:pPr>
      <w:rPr>
        <w:rFonts w:hint="default" w:ascii="Wingdings" w:hAnsi="Wingdings" w:eastAsia="Wingdings" w:cs="Wingdings"/>
      </w:rPr>
    </w:lvl>
  </w:abstractNum>
  <w:abstractNum w:abstractNumId="8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10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8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20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92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64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8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80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247" w:hanging="360"/>
      </w:pPr>
      <w:rPr>
        <w:rFonts w:hint="default" w:ascii="Wingdings" w:hAnsi="Wingdings" w:eastAsia="Wingdings" w:cs="Wingdings"/>
      </w:rPr>
    </w:lvl>
  </w:abstractNum>
  <w:abstractNum w:abstractNumId="106">
    <w:multiLevelType w:val="hybridMultilevel"/>
    <w:lvl w:ilvl="0">
      <w:start w:val="1"/>
      <w:numFmt w:val="decimal"/>
      <w:pStyle w:val="1124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127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1126"/>
      <w:isLgl w:val="false"/>
      <w:suff w:val="tab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  <w:rPr>
        <w:rFonts w:hint="default"/>
        <w:b/>
        <w:bCs w:val="0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  <w:rPr>
        <w:rFonts w:hint="default"/>
        <w:b/>
        <w:bCs w:val="0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9">
    <w:multiLevelType w:val="hybridMultilevel"/>
    <w:lvl w:ilvl="0">
      <w:start w:val="1"/>
      <w:numFmt w:val="decimal"/>
      <w:pStyle w:val="1124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127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1126"/>
      <w:isLgl w:val="false"/>
      <w:suff w:val="tab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4"/>
        <w:highlight w:val="white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113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4"/>
        <w:highlight w:val="white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1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4"/>
        <w:highlight w:val="white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1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16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1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6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7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7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15"/>
  </w:num>
  <w:num w:numId="2">
    <w:abstractNumId w:val="6"/>
  </w:num>
  <w:num w:numId="3">
    <w:abstractNumId w:val="12"/>
  </w:num>
  <w:num w:numId="4">
    <w:abstractNumId w:val="2"/>
  </w:num>
  <w:num w:numId="5">
    <w:abstractNumId w:val="3"/>
  </w:num>
  <w:num w:numId="6">
    <w:abstractNumId w:val="20"/>
  </w:num>
  <w:num w:numId="7">
    <w:abstractNumId w:val="7"/>
  </w:num>
  <w:num w:numId="8">
    <w:abstractNumId w:val="23"/>
  </w:num>
  <w:num w:numId="9">
    <w:abstractNumId w:val="8"/>
  </w:num>
  <w:num w:numId="10">
    <w:abstractNumId w:val="28"/>
  </w:num>
  <w:num w:numId="11">
    <w:abstractNumId w:val="16"/>
  </w:num>
  <w:num w:numId="12">
    <w:abstractNumId w:val="27"/>
  </w:num>
  <w:num w:numId="13">
    <w:abstractNumId w:val="4"/>
  </w:num>
  <w:num w:numId="14">
    <w:abstractNumId w:val="10"/>
  </w:num>
  <w:num w:numId="15">
    <w:abstractNumId w:val="14"/>
  </w:num>
  <w:num w:numId="16">
    <w:abstractNumId w:val="21"/>
  </w:num>
  <w:num w:numId="17">
    <w:abstractNumId w:val="22"/>
  </w:num>
  <w:num w:numId="18">
    <w:abstractNumId w:val="17"/>
  </w:num>
  <w:num w:numId="19">
    <w:abstractNumId w:val="13"/>
  </w:num>
  <w:num w:numId="20">
    <w:abstractNumId w:val="19"/>
  </w:num>
  <w:num w:numId="21">
    <w:abstractNumId w:val="18"/>
  </w:num>
  <w:num w:numId="22">
    <w:abstractNumId w:val="9"/>
  </w:num>
  <w:num w:numId="23">
    <w:abstractNumId w:val="5"/>
  </w:num>
  <w:num w:numId="24">
    <w:abstractNumId w:val="1"/>
  </w:num>
  <w:num w:numId="25">
    <w:abstractNumId w:val="11"/>
  </w:num>
  <w:num w:numId="26">
    <w:abstractNumId w:val="0"/>
  </w:num>
  <w:num w:numId="27">
    <w:abstractNumId w:val="2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5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  <w:num w:numId="87">
    <w:abstractNumId w:val="86"/>
  </w:num>
  <w:num w:numId="88">
    <w:abstractNumId w:val="87"/>
  </w:num>
  <w:num w:numId="89">
    <w:abstractNumId w:val="88"/>
  </w:num>
  <w:num w:numId="90">
    <w:abstractNumId w:val="89"/>
  </w:num>
  <w:num w:numId="91">
    <w:abstractNumId w:val="90"/>
  </w:num>
  <w:num w:numId="92">
    <w:abstractNumId w:val="91"/>
  </w:num>
  <w:num w:numId="93">
    <w:abstractNumId w:val="92"/>
  </w:num>
  <w:num w:numId="94">
    <w:abstractNumId w:val="93"/>
  </w:num>
  <w:num w:numId="95">
    <w:abstractNumId w:val="94"/>
  </w:num>
  <w:num w:numId="96">
    <w:abstractNumId w:val="95"/>
  </w:num>
  <w:num w:numId="97">
    <w:abstractNumId w:val="96"/>
  </w:num>
  <w:num w:numId="98">
    <w:abstractNumId w:val="97"/>
  </w:num>
  <w:num w:numId="99">
    <w:abstractNumId w:val="98"/>
  </w:num>
  <w:num w:numId="100">
    <w:abstractNumId w:val="99"/>
  </w:num>
  <w:num w:numId="101">
    <w:abstractNumId w:val="100"/>
  </w:num>
  <w:num w:numId="102">
    <w:abstractNumId w:val="101"/>
  </w:num>
  <w:num w:numId="103">
    <w:abstractNumId w:val="102"/>
  </w:num>
  <w:num w:numId="104">
    <w:abstractNumId w:val="103"/>
  </w:num>
  <w:num w:numId="105">
    <w:abstractNumId w:val="104"/>
  </w:num>
  <w:num w:numId="106">
    <w:abstractNumId w:val="105"/>
  </w:num>
  <w:num w:numId="107">
    <w:abstractNumId w:val="106"/>
  </w:num>
  <w:num w:numId="108">
    <w:abstractNumId w:val="107"/>
  </w:num>
  <w:num w:numId="109">
    <w:abstractNumId w:val="108"/>
  </w:num>
  <w:num w:numId="110">
    <w:abstractNumId w:val="109"/>
  </w:num>
  <w:num w:numId="111">
    <w:abstractNumId w:val="110"/>
  </w:num>
  <w:num w:numId="112">
    <w:abstractNumId w:val="111"/>
  </w:num>
  <w:num w:numId="113">
    <w:abstractNumId w:val="112"/>
  </w:num>
  <w:num w:numId="114">
    <w:abstractNumId w:val="113"/>
  </w:num>
  <w:num w:numId="115">
    <w:abstractNumId w:val="114"/>
  </w:num>
  <w:num w:numId="116">
    <w:abstractNumId w:val="115"/>
  </w:num>
  <w:num w:numId="117">
    <w:abstractNumId w:val="116"/>
  </w:num>
  <w:num w:numId="118">
    <w:abstractNumId w:val="117"/>
  </w:num>
  <w:num w:numId="119">
    <w:abstractNumId w:val="118"/>
  </w:num>
  <w:num w:numId="120">
    <w:abstractNumId w:val="119"/>
  </w:num>
  <w:num w:numId="121">
    <w:abstractNumId w:val="120"/>
  </w:num>
  <w:num w:numId="122">
    <w:abstractNumId w:val="121"/>
  </w:num>
  <w:num w:numId="123">
    <w:abstractNumId w:val="122"/>
  </w:num>
  <w:num w:numId="124">
    <w:abstractNumId w:val="123"/>
  </w:num>
  <w:num w:numId="125">
    <w:abstractNumId w:val="124"/>
  </w:num>
  <w:num w:numId="126">
    <w:abstractNumId w:val="125"/>
  </w:num>
  <w:num w:numId="127">
    <w:abstractNumId w:val="126"/>
  </w:num>
  <w:num w:numId="128">
    <w:abstractNumId w:val="127"/>
  </w:num>
  <w:num w:numId="129">
    <w:abstractNumId w:val="128"/>
  </w:num>
  <w:num w:numId="130">
    <w:abstractNumId w:val="129"/>
  </w:num>
  <w:num w:numId="131">
    <w:abstractNumId w:val="130"/>
  </w:num>
  <w:num w:numId="132">
    <w:abstractNumId w:val="131"/>
  </w:num>
  <w:num w:numId="133">
    <w:abstractNumId w:val="132"/>
  </w:num>
  <w:num w:numId="134">
    <w:abstractNumId w:val="133"/>
  </w:num>
  <w:num w:numId="135">
    <w:abstractNumId w:val="134"/>
  </w:num>
  <w:num w:numId="136">
    <w:abstractNumId w:val="135"/>
  </w:num>
  <w:num w:numId="137">
    <w:abstractNumId w:val="136"/>
  </w:num>
  <w:num w:numId="138">
    <w:abstractNumId w:val="137"/>
  </w:num>
  <w:num w:numId="139">
    <w:abstractNumId w:val="138"/>
  </w:num>
  <w:num w:numId="140">
    <w:abstractNumId w:val="139"/>
  </w:num>
  <w:num w:numId="141">
    <w:abstractNumId w:val="140"/>
  </w:num>
  <w:num w:numId="142">
    <w:abstractNumId w:val="141"/>
  </w:num>
  <w:num w:numId="143">
    <w:abstractNumId w:val="142"/>
  </w:num>
  <w:num w:numId="144">
    <w:abstractNumId w:val="143"/>
  </w:num>
  <w:num w:numId="145">
    <w:abstractNumId w:val="144"/>
  </w:num>
  <w:num w:numId="146">
    <w:abstractNumId w:val="145"/>
  </w:num>
  <w:num w:numId="147">
    <w:abstractNumId w:val="146"/>
  </w:num>
  <w:num w:numId="148">
    <w:abstractNumId w:val="147"/>
  </w:num>
  <w:num w:numId="149">
    <w:abstractNumId w:val="148"/>
  </w:num>
  <w:num w:numId="150">
    <w:abstractNumId w:val="149"/>
  </w:num>
  <w:num w:numId="151">
    <w:abstractNumId w:val="150"/>
  </w:num>
  <w:num w:numId="152">
    <w:abstractNumId w:val="151"/>
  </w:num>
  <w:num w:numId="153">
    <w:abstractNumId w:val="152"/>
  </w:num>
  <w:num w:numId="154">
    <w:abstractNumId w:val="153"/>
  </w:num>
  <w:num w:numId="155">
    <w:abstractNumId w:val="154"/>
  </w:num>
  <w:num w:numId="156">
    <w:abstractNumId w:val="155"/>
  </w:num>
  <w:num w:numId="157">
    <w:abstractNumId w:val="156"/>
  </w:num>
  <w:num w:numId="158">
    <w:abstractNumId w:val="157"/>
  </w:num>
  <w:num w:numId="159">
    <w:abstractNumId w:val="158"/>
  </w:num>
  <w:num w:numId="160">
    <w:abstractNumId w:val="159"/>
  </w:num>
  <w:num w:numId="161">
    <w:abstractNumId w:val="160"/>
  </w:num>
  <w:num w:numId="162">
    <w:abstractNumId w:val="161"/>
  </w:num>
  <w:num w:numId="163">
    <w:abstractNumId w:val="162"/>
  </w:num>
  <w:num w:numId="164">
    <w:abstractNumId w:val="163"/>
  </w:num>
  <w:num w:numId="165">
    <w:abstractNumId w:val="164"/>
  </w:num>
  <w:num w:numId="166">
    <w:abstractNumId w:val="165"/>
  </w:num>
  <w:num w:numId="167">
    <w:abstractNumId w:val="166"/>
  </w:num>
  <w:num w:numId="168">
    <w:abstractNumId w:val="167"/>
  </w:num>
  <w:num w:numId="169">
    <w:abstractNumId w:val="168"/>
  </w:num>
  <w:num w:numId="170">
    <w:abstractNumId w:val="169"/>
  </w:num>
  <w:num w:numId="171">
    <w:abstractNumId w:val="170"/>
  </w:num>
  <w:num w:numId="172">
    <w:abstractNumId w:val="171"/>
  </w:num>
  <w:num w:numId="173">
    <w:abstractNumId w:val="172"/>
  </w:num>
  <w:num w:numId="174">
    <w:abstractNumId w:val="173"/>
  </w:num>
  <w:num w:numId="175">
    <w:abstractNumId w:val="174"/>
  </w:num>
  <w:num w:numId="176">
    <w:abstractNumId w:val="17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23" w:default="1">
    <w:name w:val="Normal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24">
    <w:name w:val="Heading 1"/>
    <w:basedOn w:val="1126"/>
    <w:next w:val="1123"/>
    <w:link w:val="1317"/>
    <w:qFormat/>
    <w:pPr>
      <w:numPr>
        <w:ilvl w:val="0"/>
      </w:numPr>
      <w:outlineLvl w:val="0"/>
    </w:pPr>
    <w:rPr>
      <w:sz w:val="28"/>
      <w:szCs w:val="28"/>
    </w:rPr>
  </w:style>
  <w:style w:type="paragraph" w:styleId="1125">
    <w:name w:val="Heading 2"/>
    <w:basedOn w:val="1123"/>
    <w:next w:val="1123"/>
    <w:link w:val="114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1126">
    <w:name w:val="Heading 3"/>
    <w:basedOn w:val="1123"/>
    <w:next w:val="1123"/>
    <w:link w:val="1318"/>
    <w:qFormat/>
    <w:pPr>
      <w:numPr>
        <w:ilvl w:val="2"/>
        <w:numId w:val="1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1127">
    <w:name w:val="Heading 4"/>
    <w:basedOn w:val="1126"/>
    <w:next w:val="1123"/>
    <w:link w:val="1319"/>
    <w:qFormat/>
    <w:pPr>
      <w:numPr>
        <w:ilvl w:val="1"/>
      </w:numPr>
      <w:outlineLvl w:val="3"/>
    </w:pPr>
    <w:rPr>
      <w:bCs/>
    </w:rPr>
  </w:style>
  <w:style w:type="paragraph" w:styleId="1128">
    <w:name w:val="Heading 5"/>
    <w:basedOn w:val="1123"/>
    <w:next w:val="1123"/>
    <w:link w:val="115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1129">
    <w:name w:val="Heading 6"/>
    <w:basedOn w:val="1123"/>
    <w:next w:val="1123"/>
    <w:link w:val="115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1130">
    <w:name w:val="Heading 7"/>
    <w:basedOn w:val="1123"/>
    <w:next w:val="1123"/>
    <w:link w:val="115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1131">
    <w:name w:val="Heading 8"/>
    <w:basedOn w:val="1123"/>
    <w:next w:val="1123"/>
    <w:link w:val="115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132">
    <w:name w:val="Heading 9"/>
    <w:basedOn w:val="1123"/>
    <w:next w:val="1123"/>
    <w:link w:val="115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133" w:default="1">
    <w:name w:val="Default Paragraph Font"/>
    <w:uiPriority w:val="1"/>
    <w:semiHidden/>
    <w:unhideWhenUsed/>
  </w:style>
  <w:style w:type="table" w:styleId="11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35" w:default="1">
    <w:name w:val="No List"/>
    <w:uiPriority w:val="99"/>
    <w:semiHidden/>
    <w:unhideWhenUsed/>
  </w:style>
  <w:style w:type="character" w:styleId="1136" w:customStyle="1">
    <w:name w:val="Heading 2 Char"/>
    <w:basedOn w:val="1133"/>
    <w:uiPriority w:val="9"/>
    <w:rPr>
      <w:rFonts w:ascii="Arial" w:hAnsi="Arial" w:eastAsia="Arial" w:cs="Arial"/>
      <w:sz w:val="34"/>
    </w:rPr>
  </w:style>
  <w:style w:type="character" w:styleId="1137" w:customStyle="1">
    <w:name w:val="Heading 5 Char"/>
    <w:basedOn w:val="1133"/>
    <w:uiPriority w:val="9"/>
    <w:rPr>
      <w:rFonts w:ascii="Arial" w:hAnsi="Arial" w:eastAsia="Arial" w:cs="Arial"/>
      <w:b/>
      <w:bCs/>
      <w:sz w:val="24"/>
      <w:szCs w:val="24"/>
    </w:rPr>
  </w:style>
  <w:style w:type="character" w:styleId="1138" w:customStyle="1">
    <w:name w:val="Heading 6 Char"/>
    <w:basedOn w:val="1133"/>
    <w:uiPriority w:val="9"/>
    <w:rPr>
      <w:rFonts w:ascii="Arial" w:hAnsi="Arial" w:eastAsia="Arial" w:cs="Arial"/>
      <w:b/>
      <w:bCs/>
      <w:sz w:val="22"/>
      <w:szCs w:val="22"/>
    </w:rPr>
  </w:style>
  <w:style w:type="character" w:styleId="1139" w:customStyle="1">
    <w:name w:val="Heading 7 Char"/>
    <w:basedOn w:val="113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140" w:customStyle="1">
    <w:name w:val="Heading 8 Char"/>
    <w:basedOn w:val="1133"/>
    <w:uiPriority w:val="9"/>
    <w:rPr>
      <w:rFonts w:ascii="Arial" w:hAnsi="Arial" w:eastAsia="Arial" w:cs="Arial"/>
      <w:i/>
      <w:iCs/>
      <w:sz w:val="22"/>
      <w:szCs w:val="22"/>
    </w:rPr>
  </w:style>
  <w:style w:type="character" w:styleId="1141" w:customStyle="1">
    <w:name w:val="Heading 9 Char"/>
    <w:basedOn w:val="1133"/>
    <w:uiPriority w:val="9"/>
    <w:rPr>
      <w:rFonts w:ascii="Arial" w:hAnsi="Arial" w:eastAsia="Arial" w:cs="Arial"/>
      <w:i/>
      <w:iCs/>
      <w:sz w:val="21"/>
      <w:szCs w:val="21"/>
    </w:rPr>
  </w:style>
  <w:style w:type="character" w:styleId="1142" w:customStyle="1">
    <w:name w:val="Title Char"/>
    <w:basedOn w:val="1133"/>
    <w:uiPriority w:val="10"/>
    <w:rPr>
      <w:sz w:val="48"/>
      <w:szCs w:val="48"/>
    </w:rPr>
  </w:style>
  <w:style w:type="character" w:styleId="1143" w:customStyle="1">
    <w:name w:val="Subtitle Char"/>
    <w:basedOn w:val="1133"/>
    <w:uiPriority w:val="11"/>
    <w:rPr>
      <w:sz w:val="24"/>
      <w:szCs w:val="24"/>
    </w:rPr>
  </w:style>
  <w:style w:type="character" w:styleId="1144" w:customStyle="1">
    <w:name w:val="Quote Char"/>
    <w:uiPriority w:val="29"/>
    <w:rPr>
      <w:i/>
    </w:rPr>
  </w:style>
  <w:style w:type="character" w:styleId="1145" w:customStyle="1">
    <w:name w:val="Intense Quote Char"/>
    <w:uiPriority w:val="30"/>
    <w:rPr>
      <w:i/>
    </w:rPr>
  </w:style>
  <w:style w:type="character" w:styleId="1146" w:customStyle="1">
    <w:name w:val="Footnote Text Char"/>
    <w:uiPriority w:val="99"/>
    <w:rPr>
      <w:sz w:val="18"/>
    </w:rPr>
  </w:style>
  <w:style w:type="character" w:styleId="1147" w:customStyle="1">
    <w:name w:val="Endnote Text Char"/>
    <w:uiPriority w:val="99"/>
    <w:rPr>
      <w:sz w:val="20"/>
    </w:rPr>
  </w:style>
  <w:style w:type="character" w:styleId="1148" w:customStyle="1">
    <w:name w:val="Heading 1 Char"/>
    <w:basedOn w:val="1133"/>
    <w:uiPriority w:val="9"/>
    <w:rPr>
      <w:rFonts w:ascii="Arial" w:hAnsi="Arial" w:eastAsia="Arial" w:cs="Arial"/>
      <w:sz w:val="40"/>
      <w:szCs w:val="40"/>
    </w:rPr>
  </w:style>
  <w:style w:type="character" w:styleId="1149" w:customStyle="1">
    <w:name w:val="Заголовок 2 Знак"/>
    <w:basedOn w:val="1133"/>
    <w:link w:val="1125"/>
    <w:uiPriority w:val="9"/>
    <w:rPr>
      <w:rFonts w:ascii="Arial" w:hAnsi="Arial" w:eastAsia="Arial" w:cs="Arial"/>
      <w:sz w:val="34"/>
    </w:rPr>
  </w:style>
  <w:style w:type="character" w:styleId="1150" w:customStyle="1">
    <w:name w:val="Heading 3 Char"/>
    <w:basedOn w:val="1133"/>
    <w:uiPriority w:val="9"/>
    <w:rPr>
      <w:rFonts w:ascii="Arial" w:hAnsi="Arial" w:eastAsia="Arial" w:cs="Arial"/>
      <w:sz w:val="30"/>
      <w:szCs w:val="30"/>
    </w:rPr>
  </w:style>
  <w:style w:type="character" w:styleId="1151" w:customStyle="1">
    <w:name w:val="Heading 4 Char"/>
    <w:basedOn w:val="1133"/>
    <w:uiPriority w:val="9"/>
    <w:rPr>
      <w:rFonts w:ascii="Arial" w:hAnsi="Arial" w:eastAsia="Arial" w:cs="Arial"/>
      <w:b/>
      <w:bCs/>
      <w:sz w:val="26"/>
      <w:szCs w:val="26"/>
    </w:rPr>
  </w:style>
  <w:style w:type="character" w:styleId="1152" w:customStyle="1">
    <w:name w:val="Заголовок 5 Знак"/>
    <w:basedOn w:val="1133"/>
    <w:link w:val="1128"/>
    <w:uiPriority w:val="9"/>
    <w:rPr>
      <w:rFonts w:ascii="Arial" w:hAnsi="Arial" w:eastAsia="Arial" w:cs="Arial"/>
      <w:b/>
      <w:bCs/>
      <w:sz w:val="24"/>
      <w:szCs w:val="24"/>
    </w:rPr>
  </w:style>
  <w:style w:type="character" w:styleId="1153" w:customStyle="1">
    <w:name w:val="Заголовок 6 Знак"/>
    <w:basedOn w:val="1133"/>
    <w:link w:val="1129"/>
    <w:uiPriority w:val="9"/>
    <w:rPr>
      <w:rFonts w:ascii="Arial" w:hAnsi="Arial" w:eastAsia="Arial" w:cs="Arial"/>
      <w:b/>
      <w:bCs/>
      <w:sz w:val="22"/>
      <w:szCs w:val="22"/>
    </w:rPr>
  </w:style>
  <w:style w:type="character" w:styleId="1154" w:customStyle="1">
    <w:name w:val="Заголовок 7 Знак"/>
    <w:basedOn w:val="1133"/>
    <w:link w:val="11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155" w:customStyle="1">
    <w:name w:val="Заголовок 8 Знак"/>
    <w:basedOn w:val="1133"/>
    <w:link w:val="1131"/>
    <w:uiPriority w:val="9"/>
    <w:rPr>
      <w:rFonts w:ascii="Arial" w:hAnsi="Arial" w:eastAsia="Arial" w:cs="Arial"/>
      <w:i/>
      <w:iCs/>
      <w:sz w:val="22"/>
      <w:szCs w:val="22"/>
    </w:rPr>
  </w:style>
  <w:style w:type="character" w:styleId="1156" w:customStyle="1">
    <w:name w:val="Заголовок 9 Знак"/>
    <w:basedOn w:val="1133"/>
    <w:link w:val="1132"/>
    <w:uiPriority w:val="9"/>
    <w:rPr>
      <w:rFonts w:ascii="Arial" w:hAnsi="Arial" w:eastAsia="Arial" w:cs="Arial"/>
      <w:i/>
      <w:iCs/>
      <w:sz w:val="21"/>
      <w:szCs w:val="21"/>
    </w:rPr>
  </w:style>
  <w:style w:type="paragraph" w:styleId="1157">
    <w:name w:val="No Spacing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8">
    <w:name w:val="Title"/>
    <w:basedOn w:val="1123"/>
    <w:next w:val="1123"/>
    <w:link w:val="115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159" w:customStyle="1">
    <w:name w:val="Название Знак"/>
    <w:basedOn w:val="1133"/>
    <w:link w:val="1158"/>
    <w:uiPriority w:val="10"/>
    <w:rPr>
      <w:sz w:val="48"/>
      <w:szCs w:val="48"/>
    </w:rPr>
  </w:style>
  <w:style w:type="paragraph" w:styleId="1160">
    <w:name w:val="Subtitle"/>
    <w:basedOn w:val="1123"/>
    <w:next w:val="1123"/>
    <w:link w:val="1161"/>
    <w:uiPriority w:val="11"/>
    <w:qFormat/>
    <w:pPr>
      <w:spacing w:before="200" w:after="200"/>
    </w:pPr>
    <w:rPr>
      <w:sz w:val="24"/>
      <w:szCs w:val="24"/>
    </w:rPr>
  </w:style>
  <w:style w:type="character" w:styleId="1161" w:customStyle="1">
    <w:name w:val="Подзаголовок Знак"/>
    <w:basedOn w:val="1133"/>
    <w:link w:val="1160"/>
    <w:uiPriority w:val="11"/>
    <w:rPr>
      <w:sz w:val="24"/>
      <w:szCs w:val="24"/>
    </w:rPr>
  </w:style>
  <w:style w:type="paragraph" w:styleId="1162">
    <w:name w:val="Quote"/>
    <w:basedOn w:val="1123"/>
    <w:next w:val="1123"/>
    <w:link w:val="1163"/>
    <w:uiPriority w:val="29"/>
    <w:qFormat/>
    <w:pPr>
      <w:ind w:left="720" w:right="720"/>
    </w:pPr>
    <w:rPr>
      <w:i/>
    </w:rPr>
  </w:style>
  <w:style w:type="character" w:styleId="1163" w:customStyle="1">
    <w:name w:val="Цитата 2 Знак"/>
    <w:link w:val="1162"/>
    <w:uiPriority w:val="29"/>
    <w:rPr>
      <w:i/>
    </w:rPr>
  </w:style>
  <w:style w:type="paragraph" w:styleId="1164">
    <w:name w:val="Intense Quote"/>
    <w:basedOn w:val="1123"/>
    <w:next w:val="1123"/>
    <w:link w:val="116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165" w:customStyle="1">
    <w:name w:val="Выделенная цитата Знак"/>
    <w:link w:val="1164"/>
    <w:uiPriority w:val="30"/>
    <w:rPr>
      <w:i/>
    </w:rPr>
  </w:style>
  <w:style w:type="character" w:styleId="1166" w:customStyle="1">
    <w:name w:val="Header Char"/>
    <w:basedOn w:val="1133"/>
    <w:uiPriority w:val="99"/>
  </w:style>
  <w:style w:type="character" w:styleId="1167" w:customStyle="1">
    <w:name w:val="Footer Char"/>
    <w:basedOn w:val="1133"/>
    <w:uiPriority w:val="99"/>
  </w:style>
  <w:style w:type="paragraph" w:styleId="1168">
    <w:name w:val="Caption"/>
    <w:basedOn w:val="1123"/>
    <w:next w:val="1123"/>
    <w:link w:val="1169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1169" w:customStyle="1">
    <w:name w:val="Caption Char"/>
    <w:uiPriority w:val="99"/>
  </w:style>
  <w:style w:type="table" w:styleId="1170" w:customStyle="1">
    <w:name w:val="Table Grid Light"/>
    <w:basedOn w:val="113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171" w:customStyle="1">
    <w:name w:val="Plain Table 1"/>
    <w:basedOn w:val="113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172" w:customStyle="1">
    <w:name w:val="Plain Table 2"/>
    <w:basedOn w:val="113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173" w:customStyle="1">
    <w:name w:val="Plain Table 3"/>
    <w:basedOn w:val="11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74" w:customStyle="1">
    <w:name w:val="Plain Table 4"/>
    <w:basedOn w:val="11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5" w:customStyle="1">
    <w:name w:val="Plain Table 5"/>
    <w:basedOn w:val="11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76" w:customStyle="1">
    <w:name w:val="Grid Table 1 Light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7" w:customStyle="1">
    <w:name w:val="Grid Table 1 Light - Accent 1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8" w:customStyle="1">
    <w:name w:val="Grid Table 1 Light - Accent 2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9" w:customStyle="1">
    <w:name w:val="Grid Table 1 Light - Accent 3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0" w:customStyle="1">
    <w:name w:val="Grid Table 1 Light - Accent 4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1" w:customStyle="1">
    <w:name w:val="Grid Table 1 Light - Accent 5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2" w:customStyle="1">
    <w:name w:val="Grid Table 1 Light - Accent 6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3" w:customStyle="1">
    <w:name w:val="Grid Table 2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4" w:customStyle="1">
    <w:name w:val="Grid Table 2 - Accent 1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5" w:customStyle="1">
    <w:name w:val="Grid Table 2 - Accent 2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6" w:customStyle="1">
    <w:name w:val="Grid Table 2 - Accent 3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7" w:customStyle="1">
    <w:name w:val="Grid Table 2 - Accent 4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8" w:customStyle="1">
    <w:name w:val="Grid Table 2 - Accent 5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9" w:customStyle="1">
    <w:name w:val="Grid Table 2 - Accent 6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0" w:customStyle="1">
    <w:name w:val="Grid Table 3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1" w:customStyle="1">
    <w:name w:val="Grid Table 3 - Accent 1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2" w:customStyle="1">
    <w:name w:val="Grid Table 3 - Accent 2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3" w:customStyle="1">
    <w:name w:val="Grid Table 3 - Accent 3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4" w:customStyle="1">
    <w:name w:val="Grid Table 3 - Accent 4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5" w:customStyle="1">
    <w:name w:val="Grid Table 3 - Accent 5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6" w:customStyle="1">
    <w:name w:val="Grid Table 3 - Accent 6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7" w:customStyle="1">
    <w:name w:val="Grid Table 4"/>
    <w:basedOn w:val="11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98" w:customStyle="1">
    <w:name w:val="Grid Table 4 - Accent 1"/>
    <w:basedOn w:val="11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1199" w:customStyle="1">
    <w:name w:val="Grid Table 4 - Accent 2"/>
    <w:basedOn w:val="11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1200" w:customStyle="1">
    <w:name w:val="Grid Table 4 - Accent 3"/>
    <w:basedOn w:val="11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201" w:customStyle="1">
    <w:name w:val="Grid Table 4 - Accent 4"/>
    <w:basedOn w:val="11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1202" w:customStyle="1">
    <w:name w:val="Grid Table 4 - Accent 5"/>
    <w:basedOn w:val="11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1203" w:customStyle="1">
    <w:name w:val="Grid Table 4 - Accent 6"/>
    <w:basedOn w:val="11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204" w:customStyle="1">
    <w:name w:val="Grid Table 5 Dark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205" w:customStyle="1">
    <w:name w:val="Grid Table 5 Dark- Accent 1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1206" w:customStyle="1">
    <w:name w:val="Grid Table 5 Dark - Accent 2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207" w:customStyle="1">
    <w:name w:val="Grid Table 5 Dark - Accent 3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208" w:customStyle="1">
    <w:name w:val="Grid Table 5 Dark- Accent 4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209" w:customStyle="1">
    <w:name w:val="Grid Table 5 Dark - Accent 5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1210" w:customStyle="1">
    <w:name w:val="Grid Table 5 Dark - Accent 6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211" w:customStyle="1">
    <w:name w:val="Grid Table 6 Colorful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212" w:customStyle="1">
    <w:name w:val="Grid Table 6 Colorful - Accent 1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1213" w:customStyle="1">
    <w:name w:val="Grid Table 6 Colorful - Accent 2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214" w:customStyle="1">
    <w:name w:val="Grid Table 6 Colorful - Accent 3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215" w:customStyle="1">
    <w:name w:val="Grid Table 6 Colorful - Accent 4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216" w:customStyle="1">
    <w:name w:val="Grid Table 6 Colorful - Accent 5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217" w:customStyle="1">
    <w:name w:val="Grid Table 6 Colorful - Accent 6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218" w:customStyle="1">
    <w:name w:val="Grid Table 7 Colorful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9" w:customStyle="1">
    <w:name w:val="Grid Table 7 Colorful - Accent 1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0" w:customStyle="1">
    <w:name w:val="Grid Table 7 Colorful - Accent 2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1" w:customStyle="1">
    <w:name w:val="Grid Table 7 Colorful - Accent 3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2" w:customStyle="1">
    <w:name w:val="Grid Table 7 Colorful - Accent 4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3" w:customStyle="1">
    <w:name w:val="Grid Table 7 Colorful - Accent 5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4" w:customStyle="1">
    <w:name w:val="Grid Table 7 Colorful - Accent 6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5" w:customStyle="1">
    <w:name w:val="List Table 1 Light"/>
    <w:basedOn w:val="11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6" w:customStyle="1">
    <w:name w:val="List Table 1 Light - Accent 1"/>
    <w:basedOn w:val="11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7" w:customStyle="1">
    <w:name w:val="List Table 1 Light - Accent 2"/>
    <w:basedOn w:val="11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8" w:customStyle="1">
    <w:name w:val="List Table 1 Light - Accent 3"/>
    <w:basedOn w:val="11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9" w:customStyle="1">
    <w:name w:val="List Table 1 Light - Accent 4"/>
    <w:basedOn w:val="11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0" w:customStyle="1">
    <w:name w:val="List Table 1 Light - Accent 5"/>
    <w:basedOn w:val="11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1" w:customStyle="1">
    <w:name w:val="List Table 1 Light - Accent 6"/>
    <w:basedOn w:val="11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2" w:customStyle="1">
    <w:name w:val="List Table 2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233" w:customStyle="1">
    <w:name w:val="List Table 2 - Accent 1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1234" w:customStyle="1">
    <w:name w:val="List Table 2 - Accent 2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235" w:customStyle="1">
    <w:name w:val="List Table 2 - Accent 3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236" w:customStyle="1">
    <w:name w:val="List Table 2 - Accent 4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237" w:customStyle="1">
    <w:name w:val="List Table 2 - Accent 5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238" w:customStyle="1">
    <w:name w:val="List Table 2 - Accent 6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239" w:customStyle="1">
    <w:name w:val="List Table 3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0" w:customStyle="1">
    <w:name w:val="List Table 3 - Accent 1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1" w:customStyle="1">
    <w:name w:val="List Table 3 - Accent 2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2" w:customStyle="1">
    <w:name w:val="List Table 3 - Accent 3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3" w:customStyle="1">
    <w:name w:val="List Table 3 - Accent 4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4" w:customStyle="1">
    <w:name w:val="List Table 3 - Accent 5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5" w:customStyle="1">
    <w:name w:val="List Table 3 - Accent 6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6" w:customStyle="1">
    <w:name w:val="List Table 4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7" w:customStyle="1">
    <w:name w:val="List Table 4 - Accent 1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8" w:customStyle="1">
    <w:name w:val="List Table 4 - Accent 2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9" w:customStyle="1">
    <w:name w:val="List Table 4 - Accent 3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0" w:customStyle="1">
    <w:name w:val="List Table 4 - Accent 4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1" w:customStyle="1">
    <w:name w:val="List Table 4 - Accent 5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2" w:customStyle="1">
    <w:name w:val="List Table 4 - Accent 6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3" w:customStyle="1">
    <w:name w:val="List Table 5 Dark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54" w:customStyle="1">
    <w:name w:val="List Table 5 Dark - Accent 1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55" w:customStyle="1">
    <w:name w:val="List Table 5 Dark - Accent 2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56" w:customStyle="1">
    <w:name w:val="List Table 5 Dark - Accent 3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57" w:customStyle="1">
    <w:name w:val="List Table 5 Dark - Accent 4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58" w:customStyle="1">
    <w:name w:val="List Table 5 Dark - Accent 5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59" w:customStyle="1">
    <w:name w:val="List Table 5 Dark - Accent 6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60" w:customStyle="1">
    <w:name w:val="List Table 6 Colorful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261" w:customStyle="1">
    <w:name w:val="List Table 6 Colorful - Accent 1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262" w:customStyle="1">
    <w:name w:val="List Table 6 Colorful - Accent 2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263" w:customStyle="1">
    <w:name w:val="List Table 6 Colorful - Accent 3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264" w:customStyle="1">
    <w:name w:val="List Table 6 Colorful - Accent 4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265" w:customStyle="1">
    <w:name w:val="List Table 6 Colorful - Accent 5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266" w:customStyle="1">
    <w:name w:val="List Table 6 Colorful - Accent 6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267" w:customStyle="1">
    <w:name w:val="List Table 7 Colorful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8" w:customStyle="1">
    <w:name w:val="List Table 7 Colorful - Accent 1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9" w:customStyle="1">
    <w:name w:val="List Table 7 Colorful - Accent 2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0" w:customStyle="1">
    <w:name w:val="List Table 7 Colorful - Accent 3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1" w:customStyle="1">
    <w:name w:val="List Table 7 Colorful - Accent 4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2" w:customStyle="1">
    <w:name w:val="List Table 7 Colorful - Accent 5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3" w:customStyle="1">
    <w:name w:val="List Table 7 Colorful - Accent 6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74" w:customStyle="1">
    <w:name w:val="Lined - Accent"/>
    <w:basedOn w:val="113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275" w:customStyle="1">
    <w:name w:val="Lined - Accent 1"/>
    <w:basedOn w:val="113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276" w:customStyle="1">
    <w:name w:val="Lined - Accent 2"/>
    <w:basedOn w:val="113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277" w:customStyle="1">
    <w:name w:val="Lined - Accent 3"/>
    <w:basedOn w:val="113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278" w:customStyle="1">
    <w:name w:val="Lined - Accent 4"/>
    <w:basedOn w:val="113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279" w:customStyle="1">
    <w:name w:val="Lined - Accent 5"/>
    <w:basedOn w:val="113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280" w:customStyle="1">
    <w:name w:val="Lined - Accent 6"/>
    <w:basedOn w:val="113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281" w:customStyle="1">
    <w:name w:val="Bordered &amp; Lined - Accent"/>
    <w:basedOn w:val="113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282" w:customStyle="1">
    <w:name w:val="Bordered &amp; Lined - Accent 1"/>
    <w:basedOn w:val="113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283" w:customStyle="1">
    <w:name w:val="Bordered &amp; Lined - Accent 2"/>
    <w:basedOn w:val="113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284" w:customStyle="1">
    <w:name w:val="Bordered &amp; Lined - Accent 3"/>
    <w:basedOn w:val="113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285" w:customStyle="1">
    <w:name w:val="Bordered &amp; Lined - Accent 4"/>
    <w:basedOn w:val="113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286" w:customStyle="1">
    <w:name w:val="Bordered &amp; Lined - Accent 5"/>
    <w:basedOn w:val="113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287" w:customStyle="1">
    <w:name w:val="Bordered &amp; Lined - Accent 6"/>
    <w:basedOn w:val="113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288" w:customStyle="1">
    <w:name w:val="Bordered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289" w:customStyle="1">
    <w:name w:val="Bordered - Accent 1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290" w:customStyle="1">
    <w:name w:val="Bordered - Accent 2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291" w:customStyle="1">
    <w:name w:val="Bordered - Accent 3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292" w:customStyle="1">
    <w:name w:val="Bordered - Accent 4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293" w:customStyle="1">
    <w:name w:val="Bordered - Accent 5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294" w:customStyle="1">
    <w:name w:val="Bordered - Accent 6"/>
    <w:basedOn w:val="11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1295">
    <w:name w:val="footnote text"/>
    <w:basedOn w:val="1123"/>
    <w:link w:val="1296"/>
    <w:uiPriority w:val="99"/>
    <w:semiHidden/>
    <w:unhideWhenUsed/>
    <w:pPr>
      <w:spacing w:after="40"/>
    </w:pPr>
    <w:rPr>
      <w:sz w:val="18"/>
    </w:rPr>
  </w:style>
  <w:style w:type="character" w:styleId="1296" w:customStyle="1">
    <w:name w:val="Текст сноски Знак"/>
    <w:link w:val="1295"/>
    <w:uiPriority w:val="99"/>
    <w:rPr>
      <w:sz w:val="18"/>
    </w:rPr>
  </w:style>
  <w:style w:type="character" w:styleId="1297">
    <w:name w:val="footnote reference"/>
    <w:basedOn w:val="1133"/>
    <w:uiPriority w:val="99"/>
    <w:unhideWhenUsed/>
    <w:rPr>
      <w:vertAlign w:val="superscript"/>
    </w:rPr>
  </w:style>
  <w:style w:type="paragraph" w:styleId="1298">
    <w:name w:val="endnote text"/>
    <w:basedOn w:val="1123"/>
    <w:link w:val="1299"/>
    <w:uiPriority w:val="99"/>
    <w:semiHidden/>
    <w:unhideWhenUsed/>
  </w:style>
  <w:style w:type="character" w:styleId="1299" w:customStyle="1">
    <w:name w:val="Текст концевой сноски Знак"/>
    <w:link w:val="1298"/>
    <w:uiPriority w:val="99"/>
    <w:rPr>
      <w:sz w:val="20"/>
    </w:rPr>
  </w:style>
  <w:style w:type="character" w:styleId="1300">
    <w:name w:val="endnote reference"/>
    <w:basedOn w:val="1133"/>
    <w:uiPriority w:val="99"/>
    <w:semiHidden/>
    <w:unhideWhenUsed/>
    <w:rPr>
      <w:vertAlign w:val="superscript"/>
    </w:rPr>
  </w:style>
  <w:style w:type="paragraph" w:styleId="1301">
    <w:name w:val="toc 2"/>
    <w:basedOn w:val="1123"/>
    <w:next w:val="1123"/>
    <w:uiPriority w:val="39"/>
    <w:unhideWhenUsed/>
    <w:pPr>
      <w:ind w:left="283"/>
      <w:spacing w:after="57"/>
    </w:pPr>
  </w:style>
  <w:style w:type="paragraph" w:styleId="1302">
    <w:name w:val="toc 3"/>
    <w:basedOn w:val="1123"/>
    <w:next w:val="1123"/>
    <w:uiPriority w:val="39"/>
    <w:unhideWhenUsed/>
    <w:pPr>
      <w:ind w:left="567"/>
      <w:spacing w:after="57"/>
    </w:pPr>
  </w:style>
  <w:style w:type="paragraph" w:styleId="1303">
    <w:name w:val="toc 5"/>
    <w:basedOn w:val="1123"/>
    <w:next w:val="1123"/>
    <w:uiPriority w:val="39"/>
    <w:unhideWhenUsed/>
    <w:pPr>
      <w:ind w:left="1134"/>
      <w:spacing w:after="57"/>
    </w:pPr>
  </w:style>
  <w:style w:type="paragraph" w:styleId="1304">
    <w:name w:val="toc 6"/>
    <w:basedOn w:val="1123"/>
    <w:next w:val="1123"/>
    <w:uiPriority w:val="39"/>
    <w:unhideWhenUsed/>
    <w:pPr>
      <w:ind w:left="1417"/>
      <w:spacing w:after="57"/>
    </w:pPr>
  </w:style>
  <w:style w:type="paragraph" w:styleId="1305">
    <w:name w:val="toc 7"/>
    <w:basedOn w:val="1123"/>
    <w:next w:val="1123"/>
    <w:uiPriority w:val="39"/>
    <w:unhideWhenUsed/>
    <w:pPr>
      <w:ind w:left="1701"/>
      <w:spacing w:after="57"/>
    </w:pPr>
  </w:style>
  <w:style w:type="paragraph" w:styleId="1306">
    <w:name w:val="toc 8"/>
    <w:basedOn w:val="1123"/>
    <w:next w:val="1123"/>
    <w:uiPriority w:val="39"/>
    <w:unhideWhenUsed/>
    <w:pPr>
      <w:ind w:left="1984"/>
      <w:spacing w:after="57"/>
    </w:pPr>
  </w:style>
  <w:style w:type="paragraph" w:styleId="1307">
    <w:name w:val="toc 9"/>
    <w:basedOn w:val="1123"/>
    <w:next w:val="1123"/>
    <w:uiPriority w:val="39"/>
    <w:unhideWhenUsed/>
    <w:pPr>
      <w:ind w:left="2268"/>
      <w:spacing w:after="57"/>
    </w:pPr>
  </w:style>
  <w:style w:type="paragraph" w:styleId="1308">
    <w:name w:val="TOC Heading"/>
    <w:uiPriority w:val="39"/>
    <w:unhideWhenUsed/>
  </w:style>
  <w:style w:type="paragraph" w:styleId="1309">
    <w:name w:val="table of figures"/>
    <w:basedOn w:val="1123"/>
    <w:next w:val="1123"/>
    <w:uiPriority w:val="99"/>
    <w:unhideWhenUsed/>
  </w:style>
  <w:style w:type="paragraph" w:styleId="1310">
    <w:name w:val="toc 1"/>
    <w:basedOn w:val="1123"/>
    <w:next w:val="1123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character" w:styleId="1311">
    <w:name w:val="Hyperlink"/>
    <w:uiPriority w:val="99"/>
    <w:rPr>
      <w:color w:val="0000ff"/>
      <w:u w:val="single"/>
    </w:rPr>
  </w:style>
  <w:style w:type="paragraph" w:styleId="1312">
    <w:name w:val="toc 4"/>
    <w:basedOn w:val="1123"/>
    <w:next w:val="1123"/>
    <w:uiPriority w:val="39"/>
    <w:pPr>
      <w:ind w:left="560"/>
    </w:pPr>
    <w:rPr>
      <w:rFonts w:cstheme="minorHAnsi"/>
    </w:rPr>
  </w:style>
  <w:style w:type="paragraph" w:styleId="1313">
    <w:name w:val="Header"/>
    <w:basedOn w:val="1123"/>
    <w:link w:val="131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1314" w:customStyle="1">
    <w:name w:val="Верхний колонтитул Знак"/>
    <w:basedOn w:val="1133"/>
    <w:link w:val="1313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315">
    <w:name w:val="Footer"/>
    <w:basedOn w:val="1123"/>
    <w:link w:val="131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1316" w:customStyle="1">
    <w:name w:val="Нижний колонтитул Знак"/>
    <w:basedOn w:val="1133"/>
    <w:link w:val="1315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317" w:customStyle="1">
    <w:name w:val="Заголовок 1 Знак"/>
    <w:basedOn w:val="1133"/>
    <w:link w:val="1124"/>
    <w:rPr>
      <w:rFonts w:ascii="Times New Roman" w:hAnsi="Times New Roman" w:eastAsia="Calibri" w:cs="Times New Roman"/>
      <w:b/>
      <w:sz w:val="28"/>
      <w:szCs w:val="28"/>
      <w:lang w:eastAsia="ru-RU"/>
    </w:rPr>
  </w:style>
  <w:style w:type="character" w:styleId="1318" w:customStyle="1">
    <w:name w:val="Заголовок 3 Знак"/>
    <w:basedOn w:val="1133"/>
    <w:link w:val="1126"/>
    <w:rPr>
      <w:rFonts w:ascii="Times New Roman" w:hAnsi="Times New Roman" w:eastAsia="Calibri" w:cs="Times New Roman"/>
      <w:b/>
      <w:sz w:val="24"/>
      <w:szCs w:val="24"/>
      <w:lang w:eastAsia="ru-RU"/>
    </w:rPr>
  </w:style>
  <w:style w:type="character" w:styleId="1319" w:customStyle="1">
    <w:name w:val="Заголовок 4 Знак"/>
    <w:basedOn w:val="1133"/>
    <w:link w:val="1127"/>
    <w:rPr>
      <w:rFonts w:ascii="Times New Roman" w:hAnsi="Times New Roman" w:eastAsia="Calibri" w:cs="Times New Roman"/>
      <w:b/>
      <w:bCs/>
      <w:sz w:val="24"/>
      <w:szCs w:val="24"/>
      <w:lang w:eastAsia="ru-RU"/>
    </w:rPr>
  </w:style>
  <w:style w:type="character" w:styleId="1320" w:customStyle="1">
    <w:name w:val="комментарий"/>
    <w:rPr>
      <w:b/>
      <w:i/>
      <w:shd w:val="clear" w:color="auto" w:fill="ffff99"/>
    </w:rPr>
  </w:style>
  <w:style w:type="paragraph" w:styleId="1321" w:customStyle="1">
    <w:name w:val="Раздел положения"/>
    <w:basedOn w:val="1123"/>
    <w:pPr>
      <w:numPr>
        <w:ilvl w:val="0"/>
        <w:numId w:val="2"/>
      </w:numPr>
      <w:jc w:val="center"/>
      <w:spacing w:before="80" w:after="80"/>
    </w:pPr>
    <w:rPr>
      <w:b/>
      <w:sz w:val="32"/>
      <w:szCs w:val="32"/>
    </w:rPr>
  </w:style>
  <w:style w:type="paragraph" w:styleId="1322" w:customStyle="1">
    <w:name w:val="Подраздел раздела положения"/>
    <w:basedOn w:val="1123"/>
    <w:pPr>
      <w:numPr>
        <w:ilvl w:val="1"/>
        <w:numId w:val="2"/>
      </w:numPr>
      <w:jc w:val="both"/>
      <w:spacing w:before="80" w:after="80"/>
    </w:pPr>
  </w:style>
  <w:style w:type="paragraph" w:styleId="1323">
    <w:name w:val="List Paragraph"/>
    <w:basedOn w:val="1123"/>
    <w:link w:val="1324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character" w:styleId="1324" w:customStyle="1">
    <w:name w:val="Абзац списка Знак"/>
    <w:link w:val="1323"/>
    <w:uiPriority w:val="34"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325" w:customStyle="1">
    <w:name w:val="Таблица шапка"/>
    <w:basedOn w:val="1123"/>
    <w:pPr>
      <w:ind w:left="57" w:right="57"/>
      <w:keepNext/>
      <w:spacing w:before="40" w:after="40"/>
    </w:pPr>
    <w:rPr>
      <w:sz w:val="22"/>
      <w:szCs w:val="26"/>
    </w:rPr>
  </w:style>
  <w:style w:type="table" w:styleId="1326">
    <w:name w:val="Table Grid"/>
    <w:basedOn w:val="1134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27" w:customStyle="1">
    <w:name w:val="Таблица"/>
    <w:basedOn w:val="1123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1328">
    <w:name w:val="annotation text"/>
    <w:basedOn w:val="1123"/>
    <w:link w:val="1329"/>
    <w:semiHidden/>
  </w:style>
  <w:style w:type="character" w:styleId="1329" w:customStyle="1">
    <w:name w:val="Текст примечания Знак"/>
    <w:basedOn w:val="1133"/>
    <w:link w:val="1328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0">
    <w:name w:val="Обычный"/>
    <w:next w:val="1241"/>
    <w:link w:val="1241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</w:rPr>
  </w:style>
  <w:style w:type="table" w:styleId="1331" w:customStyle="1">
    <w:name w:val="Сетка таблицы2"/>
    <w:next w:val="1176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hint="default"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  <w:tblPr>
      <w:tblStyleRowBandSize w:val="1"/>
      <w:tblStyleColBandSize w:val="1"/>
      <w:tblW w:w="0" w:type="auto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autofit"/>
      <w:tblCellMar>
        <w:left w:w="108" w:type="dxa"/>
        <w:top w:w="0" w:type="dxa"/>
        <w:right w:w="108" w:type="dxa"/>
        <w:bottom w:w="0" w:type="dxa"/>
      </w:tblCellMar>
    </w:tblPr>
    <w:trPr>
      <w:cantSplit w:val="false"/>
      <w:jc w:val="left"/>
    </w:trPr>
    <w:tcPr>
      <w:tcW w:w="0" w:type="auto"/>
      <w:vAlign w:val="top"/>
      <w:vMerge w:val="restart"/>
      <w:hMerge w:val="restart"/>
    </w:tcPr>
  </w:style>
  <w:style w:type="paragraph" w:styleId="1332" w:customStyle="1">
    <w:name w:val="[РГ] Текст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 (???????? ?????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6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hyperlink" Target="http://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DVGK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Коломин Олег Станиславович</dc:creator>
  <cp:keywords/>
  <dc:description/>
  <cp:revision>92</cp:revision>
  <dcterms:created xsi:type="dcterms:W3CDTF">2023-01-10T06:58:00Z</dcterms:created>
  <dcterms:modified xsi:type="dcterms:W3CDTF">2026-01-15T23:22:44Z</dcterms:modified>
</cp:coreProperties>
</file>